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145BE7" w14:textId="65FD6E27" w:rsidR="00333BB3" w:rsidRPr="001B4908" w:rsidRDefault="001B4908" w:rsidP="00B01E8A">
      <w:pPr>
        <w:jc w:val="center"/>
        <w:rPr>
          <w:rFonts w:ascii="Times New Roman" w:hAnsi="Times New Roman" w:cs="Times New Roman"/>
          <w:b/>
          <w:sz w:val="32"/>
        </w:rPr>
      </w:pPr>
      <w:r w:rsidRPr="001B4908">
        <w:rPr>
          <w:rFonts w:ascii="Times New Roman" w:hAnsi="Times New Roman" w:cs="Times New Roman"/>
          <w:b/>
          <w:sz w:val="32"/>
        </w:rPr>
        <w:t>Populatie en de verspreiding v</w:t>
      </w:r>
      <w:r>
        <w:rPr>
          <w:rFonts w:ascii="Times New Roman" w:hAnsi="Times New Roman" w:cs="Times New Roman"/>
          <w:b/>
          <w:sz w:val="32"/>
        </w:rPr>
        <w:t>an taalverandering</w:t>
      </w:r>
    </w:p>
    <w:p w14:paraId="071698E5" w14:textId="6355F8C5" w:rsidR="00B01E8A" w:rsidRPr="001B4908" w:rsidRDefault="001B4908" w:rsidP="00B01E8A">
      <w:pPr>
        <w:jc w:val="center"/>
        <w:rPr>
          <w:rFonts w:ascii="Times New Roman" w:hAnsi="Times New Roman" w:cs="Times New Roman"/>
          <w:sz w:val="28"/>
        </w:rPr>
      </w:pPr>
      <w:r w:rsidRPr="001B4908">
        <w:rPr>
          <w:rFonts w:ascii="Times New Roman" w:hAnsi="Times New Roman" w:cs="Times New Roman"/>
          <w:sz w:val="28"/>
        </w:rPr>
        <w:t>Julie Nijs</w:t>
      </w:r>
      <w:r w:rsidR="00B01E8A" w:rsidRPr="001B4908">
        <w:rPr>
          <w:rFonts w:ascii="Times New Roman" w:hAnsi="Times New Roman" w:cs="Times New Roman"/>
          <w:sz w:val="28"/>
        </w:rPr>
        <w:t xml:space="preserve"> (</w:t>
      </w:r>
      <w:r w:rsidRPr="001B4908">
        <w:rPr>
          <w:rFonts w:ascii="Times New Roman" w:hAnsi="Times New Roman" w:cs="Times New Roman"/>
          <w:sz w:val="28"/>
        </w:rPr>
        <w:t>KU Leuven, QLVL</w:t>
      </w:r>
      <w:r w:rsidR="00B01E8A" w:rsidRPr="001B4908">
        <w:rPr>
          <w:rFonts w:ascii="Times New Roman" w:hAnsi="Times New Roman" w:cs="Times New Roman"/>
          <w:sz w:val="28"/>
        </w:rPr>
        <w:t>)</w:t>
      </w:r>
    </w:p>
    <w:p w14:paraId="08F432EE" w14:textId="77777777" w:rsidR="00B01E8A" w:rsidRPr="001B4908" w:rsidRDefault="00B01E8A" w:rsidP="00B01E8A">
      <w:pPr>
        <w:jc w:val="center"/>
        <w:rPr>
          <w:rFonts w:ascii="Times New Roman" w:hAnsi="Times New Roman" w:cs="Times New Roman"/>
          <w:sz w:val="28"/>
        </w:rPr>
      </w:pPr>
    </w:p>
    <w:p w14:paraId="408AAC48" w14:textId="298284B2" w:rsidR="006119B3" w:rsidRPr="006119B3" w:rsidRDefault="001B4908" w:rsidP="00B01E8A">
      <w:pPr>
        <w:rPr>
          <w:rFonts w:ascii="Times New Roman" w:hAnsi="Times New Roman" w:cs="Times New Roman"/>
        </w:rPr>
      </w:pPr>
      <w:r w:rsidRPr="001B4908">
        <w:rPr>
          <w:rFonts w:ascii="Times New Roman" w:hAnsi="Times New Roman" w:cs="Times New Roman"/>
        </w:rPr>
        <w:t>Taalinte</w:t>
      </w:r>
      <w:r>
        <w:rPr>
          <w:rFonts w:ascii="Times New Roman" w:hAnsi="Times New Roman" w:cs="Times New Roman"/>
        </w:rPr>
        <w:t xml:space="preserve">rne factoren zijn vaak ontoereikend om taalverandering te verklaren. </w:t>
      </w:r>
      <w:r w:rsidR="00A81F29">
        <w:rPr>
          <w:rFonts w:ascii="Times New Roman" w:hAnsi="Times New Roman" w:cs="Times New Roman"/>
        </w:rPr>
        <w:t xml:space="preserve">Taal wordt immers </w:t>
      </w:r>
      <w:r w:rsidR="0073208D">
        <w:rPr>
          <w:rFonts w:ascii="Times New Roman" w:hAnsi="Times New Roman" w:cs="Times New Roman"/>
        </w:rPr>
        <w:t xml:space="preserve">ook </w:t>
      </w:r>
      <w:r w:rsidR="00A81F29">
        <w:rPr>
          <w:rFonts w:ascii="Times New Roman" w:hAnsi="Times New Roman" w:cs="Times New Roman"/>
        </w:rPr>
        <w:t xml:space="preserve">beïnvloed door sociale en culturele factoren. </w:t>
      </w:r>
      <w:r w:rsidR="0073208D">
        <w:rPr>
          <w:rFonts w:ascii="Times New Roman" w:hAnsi="Times New Roman" w:cs="Times New Roman"/>
        </w:rPr>
        <w:t xml:space="preserve">Eén zo een factor </w:t>
      </w:r>
      <w:r w:rsidR="008407FD">
        <w:rPr>
          <w:rFonts w:ascii="Times New Roman" w:hAnsi="Times New Roman" w:cs="Times New Roman"/>
        </w:rPr>
        <w:t xml:space="preserve">ter discussie is populatiestructuur. </w:t>
      </w:r>
      <w:r w:rsidR="00C96F61">
        <w:rPr>
          <w:rFonts w:ascii="Times New Roman" w:hAnsi="Times New Roman" w:cs="Times New Roman"/>
        </w:rPr>
        <w:t>Zoals</w:t>
      </w:r>
      <w:r w:rsidR="008407FD">
        <w:rPr>
          <w:rFonts w:ascii="Times New Roman" w:hAnsi="Times New Roman" w:cs="Times New Roman"/>
        </w:rPr>
        <w:t xml:space="preserve"> aangetoond </w:t>
      </w:r>
      <w:r w:rsidR="00C96F61">
        <w:rPr>
          <w:rFonts w:ascii="Times New Roman" w:hAnsi="Times New Roman" w:cs="Times New Roman"/>
        </w:rPr>
        <w:t xml:space="preserve">door </w:t>
      </w:r>
      <w:r w:rsidR="00C96F61" w:rsidRPr="005A5DEE">
        <w:rPr>
          <w:rFonts w:ascii="Times New Roman" w:hAnsi="Times New Roman" w:cs="Times New Roman"/>
        </w:rPr>
        <w:t xml:space="preserve">Lupyan &amp; Dale </w:t>
      </w:r>
      <w:r w:rsidR="00C96F61">
        <w:rPr>
          <w:rFonts w:ascii="Times New Roman" w:hAnsi="Times New Roman" w:cs="Times New Roman"/>
        </w:rPr>
        <w:t>(</w:t>
      </w:r>
      <w:r w:rsidR="00C96F61" w:rsidRPr="005A5DEE">
        <w:rPr>
          <w:rFonts w:ascii="Times New Roman" w:hAnsi="Times New Roman" w:cs="Times New Roman"/>
        </w:rPr>
        <w:t>2010</w:t>
      </w:r>
      <w:r w:rsidR="00C96F61">
        <w:rPr>
          <w:rFonts w:ascii="Times New Roman" w:hAnsi="Times New Roman" w:cs="Times New Roman"/>
        </w:rPr>
        <w:t>) bestaat</w:t>
      </w:r>
      <w:r w:rsidR="008407FD">
        <w:rPr>
          <w:rFonts w:ascii="Times New Roman" w:hAnsi="Times New Roman" w:cs="Times New Roman"/>
        </w:rPr>
        <w:t xml:space="preserve"> er een verband tussen de demografische structuur van een sprekersgemeenschap en de morfosyntactische structuur van een taal.</w:t>
      </w:r>
      <w:r w:rsidR="001F402C">
        <w:rPr>
          <w:rFonts w:ascii="Times New Roman" w:hAnsi="Times New Roman" w:cs="Times New Roman"/>
        </w:rPr>
        <w:t xml:space="preserve"> Talen die gesproken worden </w:t>
      </w:r>
      <w:r w:rsidR="00A31F46">
        <w:rPr>
          <w:rFonts w:ascii="Times New Roman" w:hAnsi="Times New Roman" w:cs="Times New Roman"/>
        </w:rPr>
        <w:t xml:space="preserve">in </w:t>
      </w:r>
      <w:r w:rsidR="00CA3993">
        <w:rPr>
          <w:rFonts w:ascii="Times New Roman" w:hAnsi="Times New Roman" w:cs="Times New Roman"/>
        </w:rPr>
        <w:t xml:space="preserve">gemeenschappen met veel taalcontact zijn morfologisch minder complex en </w:t>
      </w:r>
      <w:r w:rsidR="005A5DEE">
        <w:rPr>
          <w:rFonts w:ascii="Times New Roman" w:hAnsi="Times New Roman" w:cs="Times New Roman"/>
        </w:rPr>
        <w:t>maken meer gebruik van lexicale strategieën en woordvolgorde dan talen die gesproken worden in gemeenschappen met minder taalcontact.</w:t>
      </w:r>
      <w:r w:rsidR="006119B3">
        <w:rPr>
          <w:rFonts w:ascii="Times New Roman" w:hAnsi="Times New Roman" w:cs="Times New Roman"/>
        </w:rPr>
        <w:t xml:space="preserve"> Een verklaring hiervoor is de proportie van </w:t>
      </w:r>
      <w:r w:rsidR="007A74EC">
        <w:rPr>
          <w:rFonts w:ascii="Times New Roman" w:hAnsi="Times New Roman" w:cs="Times New Roman"/>
        </w:rPr>
        <w:t>tweedetaalverwervers</w:t>
      </w:r>
      <w:r w:rsidR="006119B3">
        <w:rPr>
          <w:rFonts w:ascii="Times New Roman" w:hAnsi="Times New Roman" w:cs="Times New Roman"/>
        </w:rPr>
        <w:t xml:space="preserve"> in de sprekersgemeenschap</w:t>
      </w:r>
      <w:r w:rsidR="00C96F61">
        <w:rPr>
          <w:rFonts w:ascii="Times New Roman" w:hAnsi="Times New Roman" w:cs="Times New Roman"/>
        </w:rPr>
        <w:t>.</w:t>
      </w:r>
      <w:r w:rsidR="006119B3">
        <w:rPr>
          <w:rFonts w:ascii="Times New Roman" w:hAnsi="Times New Roman" w:cs="Times New Roman"/>
        </w:rPr>
        <w:t xml:space="preserve"> </w:t>
      </w:r>
      <w:r w:rsidR="00C96F61">
        <w:rPr>
          <w:rFonts w:ascii="Times New Roman" w:hAnsi="Times New Roman" w:cs="Times New Roman"/>
        </w:rPr>
        <w:t>C</w:t>
      </w:r>
      <w:r w:rsidR="006119B3">
        <w:rPr>
          <w:rFonts w:ascii="Times New Roman" w:hAnsi="Times New Roman" w:cs="Times New Roman"/>
        </w:rPr>
        <w:t>omplexe morfologie is moeilijker</w:t>
      </w:r>
      <w:r w:rsidR="00C96F61">
        <w:rPr>
          <w:rFonts w:ascii="Times New Roman" w:hAnsi="Times New Roman" w:cs="Times New Roman"/>
        </w:rPr>
        <w:t xml:space="preserve"> </w:t>
      </w:r>
      <w:r w:rsidR="006119B3">
        <w:rPr>
          <w:rFonts w:ascii="Times New Roman" w:hAnsi="Times New Roman" w:cs="Times New Roman"/>
        </w:rPr>
        <w:t>om te verwerven voor volwassenen</w:t>
      </w:r>
      <w:r w:rsidR="00C96F61">
        <w:rPr>
          <w:rFonts w:ascii="Times New Roman" w:hAnsi="Times New Roman" w:cs="Times New Roman"/>
        </w:rPr>
        <w:t xml:space="preserve"> en</w:t>
      </w:r>
      <w:r w:rsidR="006119B3">
        <w:rPr>
          <w:rFonts w:ascii="Times New Roman" w:hAnsi="Times New Roman" w:cs="Times New Roman"/>
        </w:rPr>
        <w:t xml:space="preserve"> </w:t>
      </w:r>
      <w:r w:rsidR="00C96F61">
        <w:rPr>
          <w:rFonts w:ascii="Times New Roman" w:hAnsi="Times New Roman" w:cs="Times New Roman"/>
        </w:rPr>
        <w:t>e</w:t>
      </w:r>
      <w:r w:rsidR="006119B3">
        <w:rPr>
          <w:rFonts w:ascii="Times New Roman" w:hAnsi="Times New Roman" w:cs="Times New Roman"/>
        </w:rPr>
        <w:t xml:space="preserve">en grotere proportie van </w:t>
      </w:r>
      <w:r w:rsidR="007A74EC">
        <w:rPr>
          <w:rFonts w:ascii="Times New Roman" w:hAnsi="Times New Roman" w:cs="Times New Roman"/>
        </w:rPr>
        <w:t>tweedetaalverwervers</w:t>
      </w:r>
      <w:r w:rsidR="006119B3">
        <w:rPr>
          <w:rFonts w:ascii="Times New Roman" w:hAnsi="Times New Roman" w:cs="Times New Roman"/>
        </w:rPr>
        <w:t xml:space="preserve"> leidt dus tot morfologische </w:t>
      </w:r>
      <w:r w:rsidR="003529BE">
        <w:rPr>
          <w:rFonts w:ascii="Times New Roman" w:hAnsi="Times New Roman" w:cs="Times New Roman"/>
        </w:rPr>
        <w:t>vereenvoudigingen</w:t>
      </w:r>
      <w:r w:rsidR="006119B3">
        <w:rPr>
          <w:rFonts w:ascii="Times New Roman" w:hAnsi="Times New Roman" w:cs="Times New Roman"/>
        </w:rPr>
        <w:t xml:space="preserve"> </w:t>
      </w:r>
      <w:r w:rsidR="006119B3" w:rsidRPr="006119B3">
        <w:rPr>
          <w:rFonts w:ascii="Times New Roman" w:hAnsi="Times New Roman" w:cs="Times New Roman"/>
        </w:rPr>
        <w:t>(Dale &amp; Lupyan 2012</w:t>
      </w:r>
      <w:r w:rsidR="00C96F61" w:rsidRPr="00C96F61">
        <w:rPr>
          <w:rFonts w:ascii="Times New Roman" w:hAnsi="Times New Roman" w:cs="Times New Roman"/>
        </w:rPr>
        <w:t>; Bentz &amp; Winter 2013</w:t>
      </w:r>
      <w:r w:rsidR="006119B3" w:rsidRPr="006119B3">
        <w:rPr>
          <w:rFonts w:ascii="Times New Roman" w:hAnsi="Times New Roman" w:cs="Times New Roman"/>
        </w:rPr>
        <w:t>).</w:t>
      </w:r>
    </w:p>
    <w:p w14:paraId="658729D7" w14:textId="0A0EFBA3" w:rsidR="00EF5F4C" w:rsidRPr="00834975" w:rsidRDefault="00520C2D" w:rsidP="00B01E8A">
      <w:pPr>
        <w:ind w:firstLine="708"/>
        <w:rPr>
          <w:rFonts w:ascii="Times New Roman" w:hAnsi="Times New Roman" w:cs="Times New Roman"/>
        </w:rPr>
      </w:pPr>
      <w:r>
        <w:rPr>
          <w:rFonts w:ascii="Times New Roman" w:hAnsi="Times New Roman" w:cs="Times New Roman"/>
        </w:rPr>
        <w:t xml:space="preserve">Het doel van dit onderzoek is om na te gaan of deze bevindingen ook diachroon stand houden. Aangezien verschillen in morfosyntactische complexiteit het resultaat zijn van diachrone processen, zou de verspreiding van die processen zich ook sneller moeten voltrekken in meer bevolkte gebieden. Het idee is dat de verspreiding van taalverandering sneller </w:t>
      </w:r>
      <w:r w:rsidR="00EF5F4C">
        <w:rPr>
          <w:rFonts w:ascii="Times New Roman" w:hAnsi="Times New Roman" w:cs="Times New Roman"/>
        </w:rPr>
        <w:t xml:space="preserve">gaat in steden met een grotere populatie dan in steden met een kleinere populatie, omdat stedelijke groei vaak het gevolg is van immigratie in plaats van natuurlijke groei, wat een toevloed aan </w:t>
      </w:r>
      <w:r w:rsidR="007A74EC">
        <w:rPr>
          <w:rFonts w:ascii="Times New Roman" w:hAnsi="Times New Roman" w:cs="Times New Roman"/>
        </w:rPr>
        <w:t xml:space="preserve">tweedetaalverwervers </w:t>
      </w:r>
      <w:r w:rsidR="00EF5F4C">
        <w:rPr>
          <w:rFonts w:ascii="Times New Roman" w:hAnsi="Times New Roman" w:cs="Times New Roman"/>
        </w:rPr>
        <w:t xml:space="preserve">oplevert </w:t>
      </w:r>
      <w:r w:rsidR="003E7FF6">
        <w:rPr>
          <w:rFonts w:ascii="Times New Roman" w:hAnsi="Times New Roman" w:cs="Times New Roman"/>
        </w:rPr>
        <w:t xml:space="preserve">die op hun beurt de spraak van de taalgemeenschap beïnvloeden. </w:t>
      </w:r>
      <w:r w:rsidR="00403B4C">
        <w:rPr>
          <w:rFonts w:ascii="Times New Roman" w:hAnsi="Times New Roman" w:cs="Times New Roman"/>
        </w:rPr>
        <w:t>Daarenboven bevorderen d</w:t>
      </w:r>
      <w:r w:rsidR="00834975">
        <w:rPr>
          <w:rFonts w:ascii="Times New Roman" w:hAnsi="Times New Roman" w:cs="Times New Roman"/>
        </w:rPr>
        <w:t xml:space="preserve">e vele ‘weak ties’ </w:t>
      </w:r>
      <w:r w:rsidR="00EF5F4C" w:rsidRPr="00834975">
        <w:rPr>
          <w:rFonts w:ascii="Times New Roman" w:hAnsi="Times New Roman" w:cs="Times New Roman"/>
        </w:rPr>
        <w:t>(Milroy &amp; Milroy 1985)</w:t>
      </w:r>
      <w:r w:rsidR="00834975" w:rsidRPr="00834975">
        <w:rPr>
          <w:rFonts w:ascii="Times New Roman" w:hAnsi="Times New Roman" w:cs="Times New Roman"/>
        </w:rPr>
        <w:t xml:space="preserve"> van het stadsleven </w:t>
      </w:r>
      <w:r w:rsidR="00834975">
        <w:rPr>
          <w:rFonts w:ascii="Times New Roman" w:hAnsi="Times New Roman" w:cs="Times New Roman"/>
        </w:rPr>
        <w:t>taalverandering</w:t>
      </w:r>
      <w:r w:rsidR="00EF5F4C" w:rsidRPr="00834975">
        <w:rPr>
          <w:rFonts w:ascii="Times New Roman" w:hAnsi="Times New Roman" w:cs="Times New Roman"/>
        </w:rPr>
        <w:t>.</w:t>
      </w:r>
      <w:r w:rsidR="00834975">
        <w:rPr>
          <w:rFonts w:ascii="Times New Roman" w:hAnsi="Times New Roman" w:cs="Times New Roman"/>
        </w:rPr>
        <w:t xml:space="preserve"> </w:t>
      </w:r>
      <w:r w:rsidR="00DD668A">
        <w:rPr>
          <w:rFonts w:ascii="Times New Roman" w:hAnsi="Times New Roman" w:cs="Times New Roman"/>
        </w:rPr>
        <w:t xml:space="preserve">Om deze hypothese te testen, </w:t>
      </w:r>
      <w:r w:rsidR="007B1E9E">
        <w:rPr>
          <w:rFonts w:ascii="Times New Roman" w:hAnsi="Times New Roman" w:cs="Times New Roman"/>
        </w:rPr>
        <w:t>werd er</w:t>
      </w:r>
      <w:r w:rsidR="00747997">
        <w:rPr>
          <w:rFonts w:ascii="Times New Roman" w:hAnsi="Times New Roman" w:cs="Times New Roman"/>
        </w:rPr>
        <w:t xml:space="preserve"> gekeken naar twee alternanties: de defle</w:t>
      </w:r>
      <w:r w:rsidR="006376B6">
        <w:rPr>
          <w:rFonts w:ascii="Times New Roman" w:hAnsi="Times New Roman" w:cs="Times New Roman"/>
        </w:rPr>
        <w:t>x</w:t>
      </w:r>
      <w:r w:rsidR="00747997">
        <w:rPr>
          <w:rFonts w:ascii="Times New Roman" w:hAnsi="Times New Roman" w:cs="Times New Roman"/>
        </w:rPr>
        <w:t xml:space="preserve">ie van </w:t>
      </w:r>
      <w:r w:rsidR="00747997" w:rsidRPr="00747997">
        <w:rPr>
          <w:rFonts w:ascii="Times New Roman" w:hAnsi="Times New Roman" w:cs="Times New Roman"/>
          <w:i/>
          <w:iCs/>
        </w:rPr>
        <w:t>veel</w:t>
      </w:r>
      <w:r w:rsidR="00747997">
        <w:rPr>
          <w:rFonts w:ascii="Times New Roman" w:hAnsi="Times New Roman" w:cs="Times New Roman"/>
        </w:rPr>
        <w:t xml:space="preserve"> en de </w:t>
      </w:r>
      <w:r w:rsidR="00A447EC">
        <w:rPr>
          <w:rFonts w:ascii="Times New Roman" w:hAnsi="Times New Roman" w:cs="Times New Roman"/>
        </w:rPr>
        <w:t>hortatiefalternantie</w:t>
      </w:r>
      <w:r w:rsidR="00C96F61">
        <w:rPr>
          <w:rFonts w:ascii="Times New Roman" w:hAnsi="Times New Roman" w:cs="Times New Roman"/>
        </w:rPr>
        <w:t xml:space="preserve"> (</w:t>
      </w:r>
      <w:r w:rsidR="00C96F61" w:rsidRPr="00C96F61">
        <w:rPr>
          <w:rFonts w:ascii="Times New Roman" w:hAnsi="Times New Roman" w:cs="Times New Roman"/>
          <w:i/>
          <w:iCs/>
        </w:rPr>
        <w:t>Laat ons naar het park gaan</w:t>
      </w:r>
      <w:r w:rsidR="00C96F61">
        <w:rPr>
          <w:rFonts w:ascii="Times New Roman" w:hAnsi="Times New Roman" w:cs="Times New Roman"/>
        </w:rPr>
        <w:t>/</w:t>
      </w:r>
      <w:r w:rsidR="00A447EC">
        <w:rPr>
          <w:rFonts w:ascii="Times New Roman" w:hAnsi="Times New Roman" w:cs="Times New Roman"/>
        </w:rPr>
        <w:t xml:space="preserve"> </w:t>
      </w:r>
      <w:r w:rsidR="00C96F61" w:rsidRPr="00C96F61">
        <w:rPr>
          <w:rFonts w:ascii="Times New Roman" w:hAnsi="Times New Roman" w:cs="Times New Roman"/>
          <w:i/>
          <w:iCs/>
        </w:rPr>
        <w:t>Laten we naar het park gaan</w:t>
      </w:r>
      <w:r w:rsidR="00C96F61">
        <w:rPr>
          <w:rFonts w:ascii="Times New Roman" w:hAnsi="Times New Roman" w:cs="Times New Roman"/>
        </w:rPr>
        <w:t>)</w:t>
      </w:r>
      <w:r w:rsidR="00747997">
        <w:rPr>
          <w:rFonts w:ascii="Times New Roman" w:hAnsi="Times New Roman" w:cs="Times New Roman"/>
        </w:rPr>
        <w:t>.</w:t>
      </w:r>
    </w:p>
    <w:p w14:paraId="5C1D13E3" w14:textId="038BA208" w:rsidR="00CB7ACA" w:rsidRPr="00A51566" w:rsidRDefault="00747997" w:rsidP="003529BE">
      <w:pPr>
        <w:ind w:firstLine="708"/>
      </w:pPr>
      <w:r>
        <w:rPr>
          <w:rFonts w:ascii="Times New Roman" w:hAnsi="Times New Roman" w:cs="Times New Roman"/>
        </w:rPr>
        <w:t>De data voor deze twee veranderingen, samen met de geboorteplaatsen van de auteurs komen uit C-CLAMP</w:t>
      </w:r>
      <w:r w:rsidR="0045609B">
        <w:rPr>
          <w:rFonts w:ascii="Times New Roman" w:hAnsi="Times New Roman" w:cs="Times New Roman"/>
        </w:rPr>
        <w:t xml:space="preserve"> </w:t>
      </w:r>
      <w:r w:rsidR="0045609B" w:rsidRPr="0045609B">
        <w:rPr>
          <w:rFonts w:ascii="Times New Roman" w:hAnsi="Times New Roman" w:cs="Times New Roman"/>
        </w:rPr>
        <w:t>(Piersoul, De Troij &amp; Van de Velde 2021)</w:t>
      </w:r>
      <w:r>
        <w:rPr>
          <w:rFonts w:ascii="Times New Roman" w:hAnsi="Times New Roman" w:cs="Times New Roman"/>
        </w:rPr>
        <w:t xml:space="preserve">, een corpus van </w:t>
      </w:r>
      <w:r w:rsidR="005C6473">
        <w:rPr>
          <w:rFonts w:ascii="Times New Roman" w:hAnsi="Times New Roman" w:cs="Times New Roman"/>
        </w:rPr>
        <w:t>Nederlandstalige culturele tijdschriften, geschreven tussen 1837 en 1999</w:t>
      </w:r>
      <w:r w:rsidR="00B01E8A" w:rsidRPr="00747997">
        <w:rPr>
          <w:rFonts w:ascii="Times New Roman" w:hAnsi="Times New Roman" w:cs="Times New Roman"/>
        </w:rPr>
        <w:t>.</w:t>
      </w:r>
      <w:r w:rsidR="005C6473">
        <w:rPr>
          <w:rFonts w:ascii="Times New Roman" w:hAnsi="Times New Roman" w:cs="Times New Roman"/>
        </w:rPr>
        <w:t xml:space="preserve"> De data werden vervolgens gekoppeld aan bevolkingsaantallen </w:t>
      </w:r>
      <w:r w:rsidR="001A1F52">
        <w:rPr>
          <w:rFonts w:ascii="Times New Roman" w:hAnsi="Times New Roman" w:cs="Times New Roman"/>
        </w:rPr>
        <w:t>uit</w:t>
      </w:r>
      <w:r w:rsidR="005C6473">
        <w:rPr>
          <w:rFonts w:ascii="Times New Roman" w:hAnsi="Times New Roman" w:cs="Times New Roman"/>
        </w:rPr>
        <w:t xml:space="preserve"> het jaar 1850 van de geboorteplaatsen van de auteurs</w:t>
      </w:r>
      <w:r w:rsidR="00A51566">
        <w:rPr>
          <w:rFonts w:ascii="Times New Roman" w:hAnsi="Times New Roman" w:cs="Times New Roman"/>
        </w:rPr>
        <w:t xml:space="preserve"> (</w:t>
      </w:r>
      <w:r w:rsidR="00A51566" w:rsidRPr="00A51566">
        <w:rPr>
          <w:rFonts w:ascii="Times New Roman" w:hAnsi="Times New Roman" w:cs="Times New Roman"/>
        </w:rPr>
        <w:t>De Vries 1948; Chandler 1987;</w:t>
      </w:r>
      <w:r w:rsidR="00A51566">
        <w:rPr>
          <w:rFonts w:ascii="Times New Roman" w:hAnsi="Times New Roman" w:cs="Times New Roman"/>
        </w:rPr>
        <w:t xml:space="preserve"> </w:t>
      </w:r>
      <w:r w:rsidR="00A51566" w:rsidRPr="00A51566">
        <w:rPr>
          <w:rFonts w:ascii="Times New Roman" w:hAnsi="Times New Roman" w:cs="Times New Roman"/>
        </w:rPr>
        <w:t>Bairoch, Batou, Chèvre 1988; Mitchell 1998</w:t>
      </w:r>
      <w:r w:rsidR="00A51566">
        <w:rPr>
          <w:rFonts w:ascii="Times New Roman" w:hAnsi="Times New Roman" w:cs="Times New Roman"/>
        </w:rPr>
        <w:t>)</w:t>
      </w:r>
      <w:r w:rsidR="005C6473">
        <w:rPr>
          <w:rFonts w:ascii="Times New Roman" w:hAnsi="Times New Roman" w:cs="Times New Roman"/>
        </w:rPr>
        <w:t xml:space="preserve">. De resulterende dataset werd opgesplitst in drie </w:t>
      </w:r>
      <w:r w:rsidR="001A1F52">
        <w:rPr>
          <w:rFonts w:ascii="Times New Roman" w:hAnsi="Times New Roman" w:cs="Times New Roman"/>
        </w:rPr>
        <w:t>groepen</w:t>
      </w:r>
      <w:r w:rsidR="00E22368">
        <w:rPr>
          <w:rFonts w:ascii="Times New Roman" w:hAnsi="Times New Roman" w:cs="Times New Roman"/>
        </w:rPr>
        <w:t>, gebaseerd op de populatiegrootte van de geboorteplaats</w:t>
      </w:r>
      <w:r w:rsidR="00DE77EB">
        <w:rPr>
          <w:rFonts w:ascii="Times New Roman" w:hAnsi="Times New Roman" w:cs="Times New Roman"/>
        </w:rPr>
        <w:t xml:space="preserve">, waarbij elke </w:t>
      </w:r>
      <w:r w:rsidR="005E24CD">
        <w:rPr>
          <w:rFonts w:ascii="Times New Roman" w:hAnsi="Times New Roman" w:cs="Times New Roman"/>
        </w:rPr>
        <w:t>groep</w:t>
      </w:r>
      <w:r w:rsidR="00DE77EB">
        <w:rPr>
          <w:rFonts w:ascii="Times New Roman" w:hAnsi="Times New Roman" w:cs="Times New Roman"/>
        </w:rPr>
        <w:t xml:space="preserve"> grotere steden bevat dan de vorige.</w:t>
      </w:r>
      <w:r w:rsidR="00CB7ACA">
        <w:rPr>
          <w:rFonts w:ascii="Times New Roman" w:hAnsi="Times New Roman" w:cs="Times New Roman"/>
        </w:rPr>
        <w:t xml:space="preserve"> Voor elke </w:t>
      </w:r>
      <w:r w:rsidR="005E24CD">
        <w:rPr>
          <w:rFonts w:ascii="Times New Roman" w:hAnsi="Times New Roman" w:cs="Times New Roman"/>
        </w:rPr>
        <w:t>groep</w:t>
      </w:r>
      <w:r w:rsidR="00CB7ACA">
        <w:rPr>
          <w:rFonts w:ascii="Times New Roman" w:hAnsi="Times New Roman" w:cs="Times New Roman"/>
        </w:rPr>
        <w:t xml:space="preserve"> werd er een logistisch regressiemodel gemaakt per verandering, met de variant als de </w:t>
      </w:r>
      <w:r w:rsidR="00815C32">
        <w:rPr>
          <w:rFonts w:ascii="Times New Roman" w:hAnsi="Times New Roman" w:cs="Times New Roman"/>
        </w:rPr>
        <w:t>afhankelijke</w:t>
      </w:r>
      <w:r w:rsidR="00CB7ACA">
        <w:rPr>
          <w:rFonts w:ascii="Times New Roman" w:hAnsi="Times New Roman" w:cs="Times New Roman"/>
        </w:rPr>
        <w:t xml:space="preserve"> variabele en het jaar als predictor. </w:t>
      </w:r>
      <w:r w:rsidR="0035529B">
        <w:rPr>
          <w:rFonts w:ascii="Times New Roman" w:hAnsi="Times New Roman" w:cs="Times New Roman"/>
        </w:rPr>
        <w:t xml:space="preserve">Vervolgens werd de snelheid van de verandering bepaald door de richtingscoëfficiënt. </w:t>
      </w:r>
      <w:r w:rsidR="007B1E9E">
        <w:rPr>
          <w:rFonts w:ascii="Times New Roman" w:hAnsi="Times New Roman" w:cs="Times New Roman"/>
        </w:rPr>
        <w:t xml:space="preserve">De resultaten tonen aan dat voor beide veranderingen </w:t>
      </w:r>
      <w:r w:rsidR="00ED68A7">
        <w:rPr>
          <w:rFonts w:ascii="Times New Roman" w:hAnsi="Times New Roman" w:cs="Times New Roman"/>
        </w:rPr>
        <w:t>de grootste richtingscoëfficiënt steeds voort komt uit</w:t>
      </w:r>
      <w:r w:rsidR="007B1E9E">
        <w:rPr>
          <w:rFonts w:ascii="Times New Roman" w:hAnsi="Times New Roman" w:cs="Times New Roman"/>
        </w:rPr>
        <w:t xml:space="preserve"> </w:t>
      </w:r>
      <w:r w:rsidR="0035529B">
        <w:rPr>
          <w:rFonts w:ascii="Times New Roman" w:hAnsi="Times New Roman" w:cs="Times New Roman"/>
        </w:rPr>
        <w:t xml:space="preserve">de </w:t>
      </w:r>
      <w:r w:rsidR="005E24CD">
        <w:rPr>
          <w:rFonts w:ascii="Times New Roman" w:hAnsi="Times New Roman" w:cs="Times New Roman"/>
        </w:rPr>
        <w:t>groep</w:t>
      </w:r>
      <w:r w:rsidR="0035529B">
        <w:rPr>
          <w:rFonts w:ascii="Times New Roman" w:hAnsi="Times New Roman" w:cs="Times New Roman"/>
        </w:rPr>
        <w:t xml:space="preserve"> met de steden met de grootste populatie. </w:t>
      </w:r>
      <w:r w:rsidR="00D57EB6">
        <w:rPr>
          <w:rFonts w:ascii="Times New Roman" w:hAnsi="Times New Roman" w:cs="Times New Roman"/>
        </w:rPr>
        <w:t>Er is echter een grote overlap tussen de betrouwbaarheidsintervallen van de richtingscoëfficiënten voor beide veranderingen</w:t>
      </w:r>
      <w:r w:rsidR="0045609B">
        <w:rPr>
          <w:rFonts w:ascii="Times New Roman" w:hAnsi="Times New Roman" w:cs="Times New Roman"/>
        </w:rPr>
        <w:t xml:space="preserve"> (zie figu</w:t>
      </w:r>
      <w:r w:rsidR="004B05AA">
        <w:rPr>
          <w:rFonts w:ascii="Times New Roman" w:hAnsi="Times New Roman" w:cs="Times New Roman"/>
        </w:rPr>
        <w:t>ren</w:t>
      </w:r>
      <w:r w:rsidR="0045609B">
        <w:rPr>
          <w:rFonts w:ascii="Times New Roman" w:hAnsi="Times New Roman" w:cs="Times New Roman"/>
        </w:rPr>
        <w:t xml:space="preserve"> 1</w:t>
      </w:r>
      <w:r w:rsidR="004B05AA">
        <w:rPr>
          <w:rFonts w:ascii="Times New Roman" w:hAnsi="Times New Roman" w:cs="Times New Roman"/>
        </w:rPr>
        <w:t xml:space="preserve"> en 2</w:t>
      </w:r>
      <w:r w:rsidR="0045609B">
        <w:rPr>
          <w:rFonts w:ascii="Times New Roman" w:hAnsi="Times New Roman" w:cs="Times New Roman"/>
        </w:rPr>
        <w:t>)</w:t>
      </w:r>
      <w:r w:rsidR="00D57EB6">
        <w:rPr>
          <w:rFonts w:ascii="Times New Roman" w:hAnsi="Times New Roman" w:cs="Times New Roman"/>
        </w:rPr>
        <w:t>.</w:t>
      </w:r>
      <w:r w:rsidR="00CD2890">
        <w:rPr>
          <w:rFonts w:ascii="Times New Roman" w:hAnsi="Times New Roman" w:cs="Times New Roman"/>
        </w:rPr>
        <w:t xml:space="preserve"> Dit onderzoek suggereert daarom ook enkel de mogelijkheid dat de verspreiding van taalverandering sneller gaat in grotere steden, maar het levert geen duidelijk bewijs dat d</w:t>
      </w:r>
      <w:r w:rsidR="00815C32">
        <w:rPr>
          <w:rFonts w:ascii="Times New Roman" w:hAnsi="Times New Roman" w:cs="Times New Roman"/>
        </w:rPr>
        <w:t>a</w:t>
      </w:r>
      <w:r w:rsidR="00CD2890">
        <w:rPr>
          <w:rFonts w:ascii="Times New Roman" w:hAnsi="Times New Roman" w:cs="Times New Roman"/>
        </w:rPr>
        <w:t>t inderdaad het geval is.</w:t>
      </w:r>
    </w:p>
    <w:p w14:paraId="49554555" w14:textId="33458A12" w:rsidR="00B01E8A" w:rsidRDefault="00B01E8A" w:rsidP="00307CB6">
      <w:pPr>
        <w:rPr>
          <w:rFonts w:ascii="Times New Roman" w:hAnsi="Times New Roman" w:cs="Times New Roman"/>
        </w:rPr>
      </w:pPr>
    </w:p>
    <w:p w14:paraId="0DCEB01B" w14:textId="6F0E2C27" w:rsidR="00307CB6" w:rsidRPr="00747997" w:rsidRDefault="00004690" w:rsidP="00307CB6">
      <w:pPr>
        <w:rPr>
          <w:rFonts w:ascii="Times New Roman" w:hAnsi="Times New Roman" w:cs="Times New Roman"/>
        </w:rPr>
      </w:pPr>
      <w:r>
        <w:rPr>
          <w:rFonts w:ascii="Times New Roman" w:hAnsi="Times New Roman" w:cs="Times New Roman"/>
          <w:noProof/>
        </w:rPr>
        <w:lastRenderedPageBreak/>
        <w:drawing>
          <wp:inline distT="0" distB="0" distL="0" distR="0" wp14:anchorId="0DC0C610" wp14:editId="281C69D3">
            <wp:extent cx="5563376" cy="3839111"/>
            <wp:effectExtent l="0" t="0" r="0" b="9525"/>
            <wp:docPr id="2" name="Picture 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563376" cy="3839111"/>
                    </a:xfrm>
                    <a:prstGeom prst="rect">
                      <a:avLst/>
                    </a:prstGeom>
                  </pic:spPr>
                </pic:pic>
              </a:graphicData>
            </a:graphic>
          </wp:inline>
        </w:drawing>
      </w:r>
    </w:p>
    <w:p w14:paraId="454550DE" w14:textId="6667A8D3" w:rsidR="00B01E8A" w:rsidRDefault="0045609B" w:rsidP="00B01E8A">
      <w:pPr>
        <w:rPr>
          <w:rFonts w:ascii="Times New Roman" w:hAnsi="Times New Roman" w:cs="Times New Roman"/>
        </w:rPr>
      </w:pPr>
      <w:r>
        <w:rPr>
          <w:rFonts w:ascii="Times New Roman" w:hAnsi="Times New Roman" w:cs="Times New Roman"/>
        </w:rPr>
        <w:t>Figuur 1:</w:t>
      </w:r>
      <w:r w:rsidR="006376B6">
        <w:rPr>
          <w:rFonts w:ascii="Times New Roman" w:hAnsi="Times New Roman" w:cs="Times New Roman"/>
        </w:rPr>
        <w:t xml:space="preserve"> Vergelijking van de snelheid van </w:t>
      </w:r>
      <w:r w:rsidR="008B7EF7">
        <w:rPr>
          <w:rFonts w:ascii="Times New Roman" w:hAnsi="Times New Roman" w:cs="Times New Roman"/>
        </w:rPr>
        <w:t xml:space="preserve">de verandering bij </w:t>
      </w:r>
      <w:r w:rsidR="006376B6">
        <w:rPr>
          <w:rFonts w:ascii="Times New Roman" w:hAnsi="Times New Roman" w:cs="Times New Roman"/>
        </w:rPr>
        <w:t>de hortatiefalternantie</w:t>
      </w:r>
    </w:p>
    <w:p w14:paraId="376ECBA1" w14:textId="77777777" w:rsidR="006376B6" w:rsidRDefault="006376B6" w:rsidP="00B01E8A">
      <w:pPr>
        <w:rPr>
          <w:rFonts w:ascii="Times New Roman" w:hAnsi="Times New Roman" w:cs="Times New Roman"/>
        </w:rPr>
      </w:pPr>
    </w:p>
    <w:p w14:paraId="49DD00E8" w14:textId="00882567" w:rsidR="00307CB6" w:rsidRDefault="006376B6" w:rsidP="00B01E8A">
      <w:pPr>
        <w:rPr>
          <w:rFonts w:ascii="Times New Roman" w:hAnsi="Times New Roman" w:cs="Times New Roman"/>
        </w:rPr>
      </w:pPr>
      <w:r>
        <w:rPr>
          <w:rFonts w:ascii="Times New Roman" w:hAnsi="Times New Roman" w:cs="Times New Roman"/>
          <w:noProof/>
        </w:rPr>
        <w:drawing>
          <wp:inline distT="0" distB="0" distL="0" distR="0" wp14:anchorId="020FA103" wp14:editId="5AC2E370">
            <wp:extent cx="5563376" cy="3839111"/>
            <wp:effectExtent l="0" t="0" r="0" b="9525"/>
            <wp:docPr id="3"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563376" cy="3839111"/>
                    </a:xfrm>
                    <a:prstGeom prst="rect">
                      <a:avLst/>
                    </a:prstGeom>
                  </pic:spPr>
                </pic:pic>
              </a:graphicData>
            </a:graphic>
          </wp:inline>
        </w:drawing>
      </w:r>
    </w:p>
    <w:p w14:paraId="35B86D07" w14:textId="7C08AF4E" w:rsidR="00307CB6" w:rsidRDefault="00307CB6" w:rsidP="00B01E8A">
      <w:pPr>
        <w:rPr>
          <w:rFonts w:ascii="Times New Roman" w:hAnsi="Times New Roman" w:cs="Times New Roman"/>
        </w:rPr>
      </w:pPr>
      <w:r>
        <w:rPr>
          <w:rFonts w:ascii="Times New Roman" w:hAnsi="Times New Roman" w:cs="Times New Roman"/>
        </w:rPr>
        <w:t>Figuur 2:</w:t>
      </w:r>
      <w:r w:rsidR="006376B6">
        <w:rPr>
          <w:rFonts w:ascii="Times New Roman" w:hAnsi="Times New Roman" w:cs="Times New Roman"/>
        </w:rPr>
        <w:t xml:space="preserve"> Vergelijking van de snelheid van de deflexie van </w:t>
      </w:r>
      <w:r w:rsidR="006376B6" w:rsidRPr="006376B6">
        <w:rPr>
          <w:rFonts w:ascii="Times New Roman" w:hAnsi="Times New Roman" w:cs="Times New Roman"/>
          <w:i/>
          <w:iCs/>
        </w:rPr>
        <w:t>veel</w:t>
      </w:r>
    </w:p>
    <w:p w14:paraId="79DE7630" w14:textId="7FCD2C66" w:rsidR="00D81751" w:rsidRDefault="00D81751" w:rsidP="00B01E8A">
      <w:pPr>
        <w:rPr>
          <w:rFonts w:ascii="Times New Roman" w:hAnsi="Times New Roman" w:cs="Times New Roman"/>
        </w:rPr>
      </w:pPr>
    </w:p>
    <w:p w14:paraId="7D2D3D89" w14:textId="4B9EB3F8" w:rsidR="006754CB" w:rsidRDefault="006754CB" w:rsidP="00B01E8A">
      <w:pPr>
        <w:rPr>
          <w:rFonts w:ascii="Times New Roman" w:hAnsi="Times New Roman" w:cs="Times New Roman"/>
        </w:rPr>
      </w:pPr>
    </w:p>
    <w:p w14:paraId="226B0D08" w14:textId="7FDFC0DF" w:rsidR="006754CB" w:rsidRDefault="006754CB" w:rsidP="00B01E8A">
      <w:pPr>
        <w:rPr>
          <w:rFonts w:ascii="Times New Roman" w:hAnsi="Times New Roman" w:cs="Times New Roman"/>
        </w:rPr>
      </w:pPr>
    </w:p>
    <w:p w14:paraId="0F3C1C6F" w14:textId="77777777" w:rsidR="00B01E8A" w:rsidRPr="00A31F46" w:rsidRDefault="00B01E8A" w:rsidP="00B01E8A">
      <w:pPr>
        <w:rPr>
          <w:rFonts w:ascii="Times New Roman" w:hAnsi="Times New Roman" w:cs="Times New Roman"/>
          <w:b/>
          <w:sz w:val="24"/>
        </w:rPr>
      </w:pPr>
      <w:r w:rsidRPr="00A31F46">
        <w:rPr>
          <w:rFonts w:ascii="Times New Roman" w:hAnsi="Times New Roman" w:cs="Times New Roman"/>
          <w:b/>
          <w:sz w:val="24"/>
        </w:rPr>
        <w:lastRenderedPageBreak/>
        <w:t>Literatuurlijst</w:t>
      </w:r>
    </w:p>
    <w:p w14:paraId="09913E39" w14:textId="77777777" w:rsidR="000A455C" w:rsidRPr="003529BE" w:rsidRDefault="000A455C" w:rsidP="000A455C">
      <w:pPr>
        <w:pStyle w:val="NormalWeb"/>
        <w:spacing w:before="0" w:beforeAutospacing="0" w:after="0" w:afterAutospacing="0"/>
        <w:ind w:left="284" w:hanging="284"/>
        <w:rPr>
          <w:sz w:val="22"/>
          <w:szCs w:val="22"/>
          <w:lang w:val="en-US"/>
        </w:rPr>
      </w:pPr>
      <w:r w:rsidRPr="003529BE">
        <w:rPr>
          <w:sz w:val="22"/>
          <w:szCs w:val="22"/>
        </w:rPr>
        <w:t xml:space="preserve">Bairoch, P., Batou, J. &amp; Chèvre, P. (1988). </w:t>
      </w:r>
      <w:r w:rsidRPr="000A455C">
        <w:rPr>
          <w:i/>
          <w:iCs/>
          <w:sz w:val="22"/>
          <w:szCs w:val="22"/>
          <w:lang w:val="fr-FR"/>
        </w:rPr>
        <w:t>La population des villes européennes de 800 à 1850</w:t>
      </w:r>
      <w:r w:rsidRPr="000A455C">
        <w:rPr>
          <w:sz w:val="22"/>
          <w:szCs w:val="22"/>
          <w:lang w:val="fr-FR"/>
        </w:rPr>
        <w:t xml:space="preserve">. </w:t>
      </w:r>
      <w:r w:rsidRPr="003529BE">
        <w:rPr>
          <w:sz w:val="22"/>
          <w:szCs w:val="22"/>
          <w:lang w:val="en-US"/>
        </w:rPr>
        <w:t>Geneva: Librarie Droz.</w:t>
      </w:r>
    </w:p>
    <w:p w14:paraId="181E0917" w14:textId="1B97F0AD" w:rsidR="00C96F61" w:rsidRDefault="00C96F61" w:rsidP="00C96F61">
      <w:pPr>
        <w:pStyle w:val="NormalWeb"/>
        <w:spacing w:before="0" w:beforeAutospacing="0" w:after="0" w:afterAutospacing="0"/>
        <w:ind w:left="284" w:hanging="284"/>
        <w:rPr>
          <w:sz w:val="22"/>
          <w:szCs w:val="22"/>
          <w:lang w:val="en-US"/>
        </w:rPr>
      </w:pPr>
      <w:r w:rsidRPr="003529BE">
        <w:rPr>
          <w:sz w:val="22"/>
          <w:szCs w:val="22"/>
          <w:lang w:val="en-US"/>
        </w:rPr>
        <w:t xml:space="preserve">Bentz, C. &amp; Winter, B. (2013). </w:t>
      </w:r>
      <w:r w:rsidRPr="00C25693">
        <w:rPr>
          <w:sz w:val="22"/>
          <w:szCs w:val="22"/>
          <w:lang w:val="en-US"/>
        </w:rPr>
        <w:t xml:space="preserve">Languages with more second language learners tend to lose nominal case. </w:t>
      </w:r>
      <w:r w:rsidRPr="004C460A">
        <w:rPr>
          <w:i/>
          <w:iCs/>
          <w:sz w:val="22"/>
          <w:szCs w:val="22"/>
          <w:lang w:val="en-US"/>
        </w:rPr>
        <w:t>Language Dynamics and Change 3</w:t>
      </w:r>
      <w:r w:rsidRPr="004C460A">
        <w:rPr>
          <w:sz w:val="22"/>
          <w:szCs w:val="22"/>
          <w:lang w:val="en-US"/>
        </w:rPr>
        <w:t>, 1-27.</w:t>
      </w:r>
    </w:p>
    <w:p w14:paraId="2EF8DDA9" w14:textId="22E00595" w:rsidR="000A455C" w:rsidRPr="00C96F61" w:rsidRDefault="000A455C" w:rsidP="000A455C">
      <w:pPr>
        <w:pStyle w:val="NormalWeb"/>
        <w:spacing w:before="0" w:beforeAutospacing="0" w:after="0" w:afterAutospacing="0"/>
        <w:ind w:left="284" w:hanging="284"/>
        <w:rPr>
          <w:sz w:val="22"/>
          <w:szCs w:val="22"/>
          <w:lang w:val="en-US"/>
        </w:rPr>
      </w:pPr>
      <w:r w:rsidRPr="000A455C">
        <w:rPr>
          <w:sz w:val="22"/>
          <w:szCs w:val="22"/>
          <w:lang w:val="en-US"/>
        </w:rPr>
        <w:t xml:space="preserve">Chandler, T. (1987). </w:t>
      </w:r>
      <w:r w:rsidRPr="000A455C">
        <w:rPr>
          <w:i/>
          <w:iCs/>
          <w:sz w:val="22"/>
          <w:szCs w:val="22"/>
          <w:lang w:val="en-US"/>
        </w:rPr>
        <w:t>Four thousand years of urban growth</w:t>
      </w:r>
      <w:r w:rsidRPr="000A455C">
        <w:rPr>
          <w:sz w:val="22"/>
          <w:szCs w:val="22"/>
          <w:lang w:val="en-US"/>
        </w:rPr>
        <w:t>. Lewiston: St.David's University Press.</w:t>
      </w:r>
    </w:p>
    <w:p w14:paraId="37CCE85E" w14:textId="15364B32" w:rsidR="00810057" w:rsidRDefault="00810057" w:rsidP="00810057">
      <w:pPr>
        <w:pStyle w:val="NormalWeb"/>
        <w:spacing w:before="0" w:beforeAutospacing="0" w:after="0" w:afterAutospacing="0"/>
        <w:ind w:left="284" w:hanging="284"/>
        <w:rPr>
          <w:sz w:val="22"/>
          <w:szCs w:val="22"/>
          <w:lang w:val="en-US"/>
        </w:rPr>
      </w:pPr>
      <w:r w:rsidRPr="00D81751">
        <w:rPr>
          <w:sz w:val="22"/>
          <w:szCs w:val="22"/>
          <w:lang w:val="en-US"/>
        </w:rPr>
        <w:t xml:space="preserve">Dale, G. &amp; Lupyan R. (2012). </w:t>
      </w:r>
      <w:r w:rsidRPr="00C25693">
        <w:rPr>
          <w:sz w:val="22"/>
          <w:szCs w:val="22"/>
          <w:lang w:val="en-US"/>
        </w:rPr>
        <w:t xml:space="preserve">Understanding the origins of morphological diversity: the linguistic niche hypothesis. </w:t>
      </w:r>
      <w:r w:rsidRPr="004C460A">
        <w:rPr>
          <w:i/>
          <w:iCs/>
          <w:sz w:val="22"/>
          <w:szCs w:val="22"/>
          <w:lang w:val="en-US"/>
        </w:rPr>
        <w:t>Advances in Complex Systems 15</w:t>
      </w:r>
      <w:r w:rsidRPr="004C460A">
        <w:rPr>
          <w:sz w:val="22"/>
          <w:szCs w:val="22"/>
          <w:lang w:val="en-US"/>
        </w:rPr>
        <w:t>(3)</w:t>
      </w:r>
      <w:r>
        <w:rPr>
          <w:sz w:val="22"/>
          <w:szCs w:val="22"/>
          <w:lang w:val="en-US"/>
        </w:rPr>
        <w:t>,</w:t>
      </w:r>
      <w:r w:rsidRPr="004C460A">
        <w:rPr>
          <w:sz w:val="22"/>
          <w:szCs w:val="22"/>
          <w:lang w:val="en-US"/>
        </w:rPr>
        <w:t xml:space="preserve"> 1150017-1-1150017-16.</w:t>
      </w:r>
    </w:p>
    <w:p w14:paraId="5EEF6BD8" w14:textId="52BE98A3" w:rsidR="000A455C" w:rsidRPr="004C460A" w:rsidRDefault="000A455C" w:rsidP="000A455C">
      <w:pPr>
        <w:pStyle w:val="NormalWeb"/>
        <w:spacing w:before="0" w:beforeAutospacing="0" w:after="0" w:afterAutospacing="0"/>
        <w:ind w:left="284" w:hanging="284"/>
        <w:rPr>
          <w:sz w:val="22"/>
          <w:szCs w:val="22"/>
          <w:lang w:val="en-US"/>
        </w:rPr>
      </w:pPr>
      <w:r w:rsidRPr="000A455C">
        <w:rPr>
          <w:sz w:val="22"/>
          <w:szCs w:val="22"/>
          <w:lang w:val="en-US"/>
        </w:rPr>
        <w:t xml:space="preserve">De Vries , J. (1984). </w:t>
      </w:r>
      <w:r w:rsidRPr="000A455C">
        <w:rPr>
          <w:i/>
          <w:iCs/>
          <w:sz w:val="22"/>
          <w:szCs w:val="22"/>
          <w:lang w:val="en-US"/>
        </w:rPr>
        <w:t>Europeanurbanization, 1500-1800</w:t>
      </w:r>
      <w:r w:rsidRPr="000A455C">
        <w:rPr>
          <w:sz w:val="22"/>
          <w:szCs w:val="22"/>
          <w:lang w:val="en-US"/>
        </w:rPr>
        <w:t>. London: Methuen &amp; Co.</w:t>
      </w:r>
    </w:p>
    <w:p w14:paraId="4AFB20AF" w14:textId="77777777" w:rsidR="00810057" w:rsidRDefault="00810057" w:rsidP="00810057">
      <w:pPr>
        <w:pStyle w:val="NormalWeb"/>
        <w:spacing w:before="0" w:beforeAutospacing="0" w:after="0" w:afterAutospacing="0"/>
        <w:ind w:left="284" w:hanging="284"/>
        <w:rPr>
          <w:sz w:val="22"/>
          <w:szCs w:val="22"/>
          <w:lang w:val="en-US"/>
        </w:rPr>
      </w:pPr>
      <w:r w:rsidRPr="00C25693">
        <w:rPr>
          <w:sz w:val="22"/>
          <w:szCs w:val="22"/>
          <w:lang w:val="en-US"/>
        </w:rPr>
        <w:t>Lupyan, G. &amp; Dale</w:t>
      </w:r>
      <w:r>
        <w:rPr>
          <w:sz w:val="22"/>
          <w:szCs w:val="22"/>
          <w:lang w:val="en-US"/>
        </w:rPr>
        <w:t xml:space="preserve"> R</w:t>
      </w:r>
      <w:r w:rsidRPr="00C25693">
        <w:rPr>
          <w:sz w:val="22"/>
          <w:szCs w:val="22"/>
          <w:lang w:val="en-US"/>
        </w:rPr>
        <w:t xml:space="preserve">. </w:t>
      </w:r>
      <w:r>
        <w:rPr>
          <w:sz w:val="22"/>
          <w:szCs w:val="22"/>
          <w:lang w:val="en-US"/>
        </w:rPr>
        <w:t>(</w:t>
      </w:r>
      <w:r w:rsidRPr="00C25693">
        <w:rPr>
          <w:sz w:val="22"/>
          <w:szCs w:val="22"/>
          <w:lang w:val="en-US"/>
        </w:rPr>
        <w:t>2010</w:t>
      </w:r>
      <w:r>
        <w:rPr>
          <w:sz w:val="22"/>
          <w:szCs w:val="22"/>
          <w:lang w:val="en-US"/>
        </w:rPr>
        <w:t>)</w:t>
      </w:r>
      <w:r w:rsidRPr="00C25693">
        <w:rPr>
          <w:sz w:val="22"/>
          <w:szCs w:val="22"/>
          <w:lang w:val="en-US"/>
        </w:rPr>
        <w:t xml:space="preserve">. Language structure is partly determined by social structure. </w:t>
      </w:r>
      <w:r w:rsidRPr="004C460A">
        <w:rPr>
          <w:i/>
          <w:iCs/>
          <w:sz w:val="22"/>
          <w:szCs w:val="22"/>
          <w:lang w:val="en-US"/>
        </w:rPr>
        <w:t>PLoS One 5</w:t>
      </w:r>
      <w:r w:rsidRPr="004C460A">
        <w:rPr>
          <w:sz w:val="22"/>
          <w:szCs w:val="22"/>
          <w:lang w:val="en-US"/>
        </w:rPr>
        <w:t>(1).</w:t>
      </w:r>
    </w:p>
    <w:p w14:paraId="4FDFCDD2" w14:textId="351635DF" w:rsidR="00B01E8A" w:rsidRPr="003529BE" w:rsidRDefault="00810057" w:rsidP="00810057">
      <w:pPr>
        <w:pStyle w:val="NormalWeb"/>
        <w:spacing w:before="0" w:beforeAutospacing="0" w:after="0" w:afterAutospacing="0"/>
        <w:ind w:left="284" w:hanging="284"/>
        <w:rPr>
          <w:sz w:val="22"/>
          <w:szCs w:val="22"/>
          <w:lang w:val="en-US"/>
        </w:rPr>
      </w:pPr>
      <w:r w:rsidRPr="001561F4">
        <w:rPr>
          <w:sz w:val="22"/>
          <w:szCs w:val="22"/>
          <w:lang w:val="en-US"/>
        </w:rPr>
        <w:t>Milroy, J. &amp; Milroy</w:t>
      </w:r>
      <w:r>
        <w:rPr>
          <w:sz w:val="22"/>
          <w:szCs w:val="22"/>
          <w:lang w:val="en-US"/>
        </w:rPr>
        <w:t xml:space="preserve"> L</w:t>
      </w:r>
      <w:r w:rsidRPr="001561F4">
        <w:rPr>
          <w:sz w:val="22"/>
          <w:szCs w:val="22"/>
          <w:lang w:val="en-US"/>
        </w:rPr>
        <w:t xml:space="preserve">. </w:t>
      </w:r>
      <w:r>
        <w:rPr>
          <w:sz w:val="22"/>
          <w:szCs w:val="22"/>
          <w:lang w:val="en-US"/>
        </w:rPr>
        <w:t>(</w:t>
      </w:r>
      <w:r w:rsidRPr="001561F4">
        <w:rPr>
          <w:sz w:val="22"/>
          <w:szCs w:val="22"/>
          <w:lang w:val="en-US"/>
        </w:rPr>
        <w:t>1985</w:t>
      </w:r>
      <w:r>
        <w:rPr>
          <w:sz w:val="22"/>
          <w:szCs w:val="22"/>
          <w:lang w:val="en-US"/>
        </w:rPr>
        <w:t>)</w:t>
      </w:r>
      <w:r w:rsidRPr="001561F4">
        <w:rPr>
          <w:sz w:val="22"/>
          <w:szCs w:val="22"/>
          <w:lang w:val="en-US"/>
        </w:rPr>
        <w:t xml:space="preserve">. Linguistic change, social network and speaker innovation. </w:t>
      </w:r>
      <w:r w:rsidRPr="003529BE">
        <w:rPr>
          <w:i/>
          <w:iCs/>
          <w:sz w:val="22"/>
          <w:szCs w:val="22"/>
          <w:lang w:val="en-US"/>
        </w:rPr>
        <w:t>Journal of Linguistics 21</w:t>
      </w:r>
      <w:r w:rsidRPr="003529BE">
        <w:rPr>
          <w:sz w:val="22"/>
          <w:szCs w:val="22"/>
          <w:lang w:val="en-US"/>
        </w:rPr>
        <w:t>, 339-384.</w:t>
      </w:r>
    </w:p>
    <w:p w14:paraId="0032B797" w14:textId="77777777" w:rsidR="000A455C" w:rsidRPr="003529BE" w:rsidRDefault="000A455C" w:rsidP="000A455C">
      <w:pPr>
        <w:pStyle w:val="NormalWeb"/>
        <w:spacing w:before="0" w:beforeAutospacing="0" w:after="0" w:afterAutospacing="0"/>
        <w:ind w:left="284" w:hanging="284"/>
        <w:rPr>
          <w:sz w:val="22"/>
          <w:szCs w:val="22"/>
          <w:lang w:val="en-US"/>
        </w:rPr>
      </w:pPr>
      <w:r w:rsidRPr="003529BE">
        <w:rPr>
          <w:sz w:val="22"/>
          <w:szCs w:val="22"/>
          <w:lang w:val="en-US"/>
        </w:rPr>
        <w:t xml:space="preserve">Mitchell, B.R. (1998). </w:t>
      </w:r>
      <w:r w:rsidRPr="003529BE">
        <w:rPr>
          <w:i/>
          <w:iCs/>
          <w:sz w:val="22"/>
          <w:szCs w:val="22"/>
          <w:lang w:val="en-US"/>
        </w:rPr>
        <w:t>International historical statistics: Europe 1750-1993</w:t>
      </w:r>
      <w:r w:rsidRPr="003529BE">
        <w:rPr>
          <w:sz w:val="22"/>
          <w:szCs w:val="22"/>
          <w:lang w:val="en-US"/>
        </w:rPr>
        <w:t>.London: Macmillan.</w:t>
      </w:r>
    </w:p>
    <w:p w14:paraId="57E7CE46" w14:textId="34B9C79D" w:rsidR="00B01E8A" w:rsidRPr="000A455C" w:rsidRDefault="0045609B" w:rsidP="000A455C">
      <w:pPr>
        <w:pStyle w:val="NormalWeb"/>
        <w:spacing w:before="0" w:beforeAutospacing="0" w:after="0" w:afterAutospacing="0"/>
        <w:ind w:left="284" w:hanging="284"/>
        <w:rPr>
          <w:sz w:val="22"/>
          <w:szCs w:val="22"/>
          <w:lang w:val="en-US"/>
        </w:rPr>
      </w:pPr>
      <w:r w:rsidRPr="00D81751">
        <w:rPr>
          <w:sz w:val="22"/>
          <w:szCs w:val="22"/>
        </w:rPr>
        <w:t xml:space="preserve">Piersoul, J., Van de Velde, F., &amp; De Troij, R. (2021). </w:t>
      </w:r>
      <w:r w:rsidRPr="0045609B">
        <w:rPr>
          <w:sz w:val="22"/>
          <w:szCs w:val="22"/>
          <w:lang w:val="en-US"/>
        </w:rPr>
        <w:t xml:space="preserve">150 Years of written Dutch: the construction of the Dutch corpus of contemporary and late modern periodicals (Dutch C-CLAMP). </w:t>
      </w:r>
      <w:r w:rsidRPr="0045609B">
        <w:rPr>
          <w:i/>
          <w:iCs/>
          <w:sz w:val="22"/>
          <w:szCs w:val="22"/>
          <w:lang w:val="en-US"/>
        </w:rPr>
        <w:t>Nederlandse Taalkunde, 26</w:t>
      </w:r>
      <w:r w:rsidRPr="0045609B">
        <w:rPr>
          <w:sz w:val="22"/>
          <w:szCs w:val="22"/>
          <w:lang w:val="en-US"/>
        </w:rPr>
        <w:t>(3), 339–362.</w:t>
      </w:r>
    </w:p>
    <w:sectPr w:rsidR="00B01E8A" w:rsidRPr="000A455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734A1F"/>
    <w:multiLevelType w:val="hybridMultilevel"/>
    <w:tmpl w:val="A17ED1F6"/>
    <w:lvl w:ilvl="0" w:tplc="5FE41B66">
      <w:numFmt w:val="bullet"/>
      <w:lvlText w:val="-"/>
      <w:lvlJc w:val="left"/>
      <w:pPr>
        <w:ind w:left="720" w:hanging="360"/>
      </w:pPr>
      <w:rPr>
        <w:rFonts w:ascii="Calibri" w:eastAsia="Calibri" w:hAnsi="Calibri" w:cs="Calibri" w:hint="default"/>
        <w:sz w:val="23"/>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num w:numId="1" w16cid:durableId="55204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E8A"/>
    <w:rsid w:val="00004690"/>
    <w:rsid w:val="000A455C"/>
    <w:rsid w:val="001A1F52"/>
    <w:rsid w:val="001B4908"/>
    <w:rsid w:val="001F402C"/>
    <w:rsid w:val="001F4828"/>
    <w:rsid w:val="00257326"/>
    <w:rsid w:val="002E70AB"/>
    <w:rsid w:val="00307CB6"/>
    <w:rsid w:val="00333BB3"/>
    <w:rsid w:val="003529BE"/>
    <w:rsid w:val="0035529B"/>
    <w:rsid w:val="003730B5"/>
    <w:rsid w:val="003D785B"/>
    <w:rsid w:val="003E7FF6"/>
    <w:rsid w:val="00403B4C"/>
    <w:rsid w:val="0045609B"/>
    <w:rsid w:val="004B05AA"/>
    <w:rsid w:val="00520C2D"/>
    <w:rsid w:val="005A5DEE"/>
    <w:rsid w:val="005C6473"/>
    <w:rsid w:val="005E24CD"/>
    <w:rsid w:val="006119B3"/>
    <w:rsid w:val="006376B6"/>
    <w:rsid w:val="006754CB"/>
    <w:rsid w:val="00687997"/>
    <w:rsid w:val="0073208D"/>
    <w:rsid w:val="00747997"/>
    <w:rsid w:val="007A74EC"/>
    <w:rsid w:val="007B1E9E"/>
    <w:rsid w:val="00810057"/>
    <w:rsid w:val="00815C32"/>
    <w:rsid w:val="00834975"/>
    <w:rsid w:val="008407FD"/>
    <w:rsid w:val="008B7EF7"/>
    <w:rsid w:val="008E071F"/>
    <w:rsid w:val="00A31F46"/>
    <w:rsid w:val="00A447EC"/>
    <w:rsid w:val="00A51566"/>
    <w:rsid w:val="00A81F29"/>
    <w:rsid w:val="00A8243E"/>
    <w:rsid w:val="00B01E8A"/>
    <w:rsid w:val="00C7285E"/>
    <w:rsid w:val="00C96F61"/>
    <w:rsid w:val="00CA3993"/>
    <w:rsid w:val="00CB7ACA"/>
    <w:rsid w:val="00CC1A28"/>
    <w:rsid w:val="00CD2890"/>
    <w:rsid w:val="00CF34F8"/>
    <w:rsid w:val="00D57EB6"/>
    <w:rsid w:val="00D81751"/>
    <w:rsid w:val="00DD668A"/>
    <w:rsid w:val="00DE07FE"/>
    <w:rsid w:val="00DE77EB"/>
    <w:rsid w:val="00DF51A9"/>
    <w:rsid w:val="00E22368"/>
    <w:rsid w:val="00E24385"/>
    <w:rsid w:val="00E83A6E"/>
    <w:rsid w:val="00ED68A7"/>
    <w:rsid w:val="00EF5F4C"/>
    <w:rsid w:val="00FE1A9B"/>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F6C631"/>
  <w15:chartTrackingRefBased/>
  <w15:docId w15:val="{00C13B6D-A167-4784-9772-7191FD85E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34F8"/>
    <w:pPr>
      <w:contextualSpacing/>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01E8A"/>
    <w:pPr>
      <w:spacing w:before="100" w:beforeAutospacing="1" w:after="100" w:afterAutospacing="1" w:line="240" w:lineRule="auto"/>
      <w:contextualSpacing w:val="0"/>
    </w:pPr>
    <w:rPr>
      <w:rFonts w:ascii="Times New Roman" w:eastAsia="Times New Roman" w:hAnsi="Times New Roman" w:cs="Times New Roman"/>
      <w:sz w:val="24"/>
      <w:szCs w:val="24"/>
      <w:lang w:eastAsia="nl-BE"/>
    </w:rPr>
  </w:style>
  <w:style w:type="character" w:styleId="Emphasis">
    <w:name w:val="Emphasis"/>
    <w:basedOn w:val="DefaultParagraphFont"/>
    <w:uiPriority w:val="20"/>
    <w:qFormat/>
    <w:rsid w:val="00B01E8A"/>
    <w:rPr>
      <w:i/>
      <w:iCs/>
    </w:rPr>
  </w:style>
  <w:style w:type="paragraph" w:styleId="ListParagraph">
    <w:name w:val="List Paragraph"/>
    <w:basedOn w:val="Normal"/>
    <w:uiPriority w:val="34"/>
    <w:qFormat/>
    <w:rsid w:val="00E24385"/>
    <w:pPr>
      <w:spacing w:after="0" w:line="240" w:lineRule="auto"/>
      <w:ind w:left="720"/>
      <w:contextualSpacing w:val="0"/>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687501">
      <w:bodyDiv w:val="1"/>
      <w:marLeft w:val="0"/>
      <w:marRight w:val="0"/>
      <w:marTop w:val="0"/>
      <w:marBottom w:val="0"/>
      <w:divBdr>
        <w:top w:val="none" w:sz="0" w:space="0" w:color="auto"/>
        <w:left w:val="none" w:sz="0" w:space="0" w:color="auto"/>
        <w:bottom w:val="none" w:sz="0" w:space="0" w:color="auto"/>
        <w:right w:val="none" w:sz="0" w:space="0" w:color="auto"/>
      </w:divBdr>
    </w:div>
    <w:div w:id="154297343">
      <w:bodyDiv w:val="1"/>
      <w:marLeft w:val="0"/>
      <w:marRight w:val="0"/>
      <w:marTop w:val="0"/>
      <w:marBottom w:val="0"/>
      <w:divBdr>
        <w:top w:val="none" w:sz="0" w:space="0" w:color="auto"/>
        <w:left w:val="none" w:sz="0" w:space="0" w:color="auto"/>
        <w:bottom w:val="none" w:sz="0" w:space="0" w:color="auto"/>
        <w:right w:val="none" w:sz="0" w:space="0" w:color="auto"/>
      </w:divBdr>
    </w:div>
    <w:div w:id="263266041">
      <w:bodyDiv w:val="1"/>
      <w:marLeft w:val="0"/>
      <w:marRight w:val="0"/>
      <w:marTop w:val="0"/>
      <w:marBottom w:val="0"/>
      <w:divBdr>
        <w:top w:val="none" w:sz="0" w:space="0" w:color="auto"/>
        <w:left w:val="none" w:sz="0" w:space="0" w:color="auto"/>
        <w:bottom w:val="none" w:sz="0" w:space="0" w:color="auto"/>
        <w:right w:val="none" w:sz="0" w:space="0" w:color="auto"/>
      </w:divBdr>
    </w:div>
    <w:div w:id="383918811">
      <w:bodyDiv w:val="1"/>
      <w:marLeft w:val="0"/>
      <w:marRight w:val="0"/>
      <w:marTop w:val="0"/>
      <w:marBottom w:val="0"/>
      <w:divBdr>
        <w:top w:val="none" w:sz="0" w:space="0" w:color="auto"/>
        <w:left w:val="none" w:sz="0" w:space="0" w:color="auto"/>
        <w:bottom w:val="none" w:sz="0" w:space="0" w:color="auto"/>
        <w:right w:val="none" w:sz="0" w:space="0" w:color="auto"/>
      </w:divBdr>
    </w:div>
    <w:div w:id="747072152">
      <w:bodyDiv w:val="1"/>
      <w:marLeft w:val="0"/>
      <w:marRight w:val="0"/>
      <w:marTop w:val="0"/>
      <w:marBottom w:val="0"/>
      <w:divBdr>
        <w:top w:val="none" w:sz="0" w:space="0" w:color="auto"/>
        <w:left w:val="none" w:sz="0" w:space="0" w:color="auto"/>
        <w:bottom w:val="none" w:sz="0" w:space="0" w:color="auto"/>
        <w:right w:val="none" w:sz="0" w:space="0" w:color="auto"/>
      </w:divBdr>
    </w:div>
    <w:div w:id="1294483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702</Words>
  <Characters>3867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KU Leuven</Company>
  <LinksUpToDate>false</LinksUpToDate>
  <CharactersWithSpaces>4560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Karlien Franco</dc:creator>
  <cp:keywords/>
  <dc:description/>
  <cp:lastModifiedBy>Pijpops Dirk</cp:lastModifiedBy>
  <cp:revision>77</cp:revision>
  <dcterms:created xsi:type="dcterms:W3CDTF">2022-06-16T14:00:00Z</dcterms:created>
  <dcterms:modified xsi:type="dcterms:W3CDTF">2022-08-30T08:41:00Z</dcterms:modified>
</cp:coreProperties>
</file>