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041CD" w:rsidRDefault="001F04AE">
      <w:pPr>
        <w:jc w:val="center"/>
      </w:pPr>
      <w:bookmarkStart w:id="0" w:name="_GoBack"/>
      <w:bookmarkEnd w:id="0"/>
      <w:r>
        <w:rPr>
          <w:rFonts w:ascii="Times New Roman" w:hAnsi="Times New Roman" w:cs="Times New Roman"/>
          <w:b/>
          <w:sz w:val="32"/>
        </w:rPr>
        <w:t>Het Romeyka als een minderheidstaal in Noordoost-Turkije:</w:t>
      </w:r>
      <w:r>
        <w:rPr>
          <w:rFonts w:ascii="Times New Roman" w:hAnsi="Times New Roman" w:cs="Times New Roman"/>
          <w:b/>
          <w:sz w:val="32"/>
        </w:rPr>
        <w:br/>
        <w:t>taalverschuiving en vitaliteit</w:t>
      </w:r>
    </w:p>
    <w:p w:rsidR="00B041CD" w:rsidRDefault="00B041CD">
      <w:pPr>
        <w:jc w:val="center"/>
        <w:rPr>
          <w:rFonts w:ascii="Times New Roman" w:hAnsi="Times New Roman" w:cs="Times New Roman"/>
          <w:sz w:val="28"/>
        </w:rPr>
      </w:pPr>
    </w:p>
    <w:p w:rsidR="00B041CD" w:rsidRDefault="001F04AE">
      <w:pPr>
        <w:jc w:val="center"/>
      </w:pPr>
      <w:r>
        <w:rPr>
          <w:rFonts w:ascii="Times New Roman" w:hAnsi="Times New Roman" w:cs="Times New Roman"/>
          <w:sz w:val="28"/>
        </w:rPr>
        <w:t>Laurentia Schreiber (Bamberg University/UGent)</w:t>
      </w:r>
    </w:p>
    <w:p w:rsidR="00B041CD" w:rsidRDefault="00B041CD">
      <w:pPr>
        <w:jc w:val="center"/>
        <w:rPr>
          <w:rFonts w:ascii="Times New Roman" w:hAnsi="Times New Roman" w:cs="Times New Roman"/>
          <w:sz w:val="28"/>
        </w:rPr>
      </w:pPr>
    </w:p>
    <w:p w:rsidR="00B041CD" w:rsidRDefault="001F04AE">
      <w:pPr>
        <w:jc w:val="both"/>
      </w:pPr>
      <w:r>
        <w:rPr>
          <w:rFonts w:ascii="Times New Roman" w:hAnsi="Times New Roman" w:cs="Times New Roman"/>
        </w:rPr>
        <w:t xml:space="preserve">Het Romeyka is een bedreigde autochtone minderheidstaal die vandaag nog door enkele duizenden sprekers in Trabzon </w:t>
      </w:r>
      <w:r>
        <w:rPr>
          <w:rFonts w:ascii="Times New Roman" w:hAnsi="Times New Roman" w:cs="Times New Roman"/>
        </w:rPr>
        <w:t>provincie in Noordoost-Turkije wordt gesproken. Ondanks een constante wetenschappelijke belangstelling voor de taal in de laatste jaren (Mackridge 1987; Bortone 2009; Özkan 2013; Sitaridou 2013, 2014a/b en volgende) is de grammatica van het Romeyka nog nie</w:t>
      </w:r>
      <w:r>
        <w:rPr>
          <w:rFonts w:ascii="Times New Roman" w:hAnsi="Times New Roman" w:cs="Times New Roman"/>
        </w:rPr>
        <w:t>t voldoende beschreven, wat gezien het afnemende gebruik van de taal en de geleidelijke verschuiving (</w:t>
      </w:r>
      <w:proofErr w:type="spellStart"/>
      <w:r>
        <w:rPr>
          <w:rFonts w:ascii="Times New Roman" w:hAnsi="Times New Roman" w:cs="Times New Roman"/>
          <w:i/>
        </w:rPr>
        <w:t>language</w:t>
      </w:r>
      <w:proofErr w:type="spellEnd"/>
      <w:r>
        <w:rPr>
          <w:rFonts w:ascii="Times New Roman" w:hAnsi="Times New Roman" w:cs="Times New Roman"/>
          <w:i/>
        </w:rPr>
        <w:t xml:space="preserve"> shift</w:t>
      </w:r>
      <w:r>
        <w:rPr>
          <w:rFonts w:ascii="Times New Roman" w:hAnsi="Times New Roman" w:cs="Times New Roman"/>
        </w:rPr>
        <w:t>) naar het Turks een belangrijk desideratum vormt. Mijn doctoraatsonderzoek naar de grammatica van het Romeyka probeert aan dit gebrek tegem</w:t>
      </w:r>
      <w:r>
        <w:rPr>
          <w:rFonts w:ascii="Times New Roman" w:hAnsi="Times New Roman" w:cs="Times New Roman"/>
        </w:rPr>
        <w:t>oet te komen.</w:t>
      </w:r>
    </w:p>
    <w:p w:rsidR="00B041CD" w:rsidRDefault="001F04AE">
      <w:pPr>
        <w:jc w:val="both"/>
      </w:pPr>
      <w:r>
        <w:rPr>
          <w:rFonts w:ascii="Times New Roman" w:hAnsi="Times New Roman" w:cs="Times New Roman"/>
        </w:rPr>
        <w:t xml:space="preserve">Het Romeyka behoort tot de Griekse taalfamilie en recent onderzoek (Schreiber, in voorbereiding) toont aan dat het Romeyka </w:t>
      </w:r>
      <w:r>
        <w:rPr>
          <w:rFonts w:cs="Calibri"/>
        </w:rPr>
        <w:t>−</w:t>
      </w:r>
      <w:r>
        <w:rPr>
          <w:rFonts w:ascii="Times New Roman" w:hAnsi="Times New Roman" w:cs="Times New Roman"/>
        </w:rPr>
        <w:t xml:space="preserve"> ondanks een duidelijke invloed van de Turkse woordenschat en grammatica gedurende meerdere honderden jaren </w:t>
      </w:r>
      <w:r>
        <w:rPr>
          <w:rFonts w:cs="Calibri"/>
        </w:rPr>
        <w:t>−</w:t>
      </w:r>
      <w:r>
        <w:rPr>
          <w:rFonts w:ascii="Times New Roman" w:hAnsi="Times New Roman" w:cs="Times New Roman"/>
        </w:rPr>
        <w:t xml:space="preserve"> nog stee</w:t>
      </w:r>
      <w:r>
        <w:rPr>
          <w:rFonts w:ascii="Times New Roman" w:hAnsi="Times New Roman" w:cs="Times New Roman"/>
        </w:rPr>
        <w:t>ds als een dialect van het modern Grieks kan worden beschouwd. In feite beschikt de taal over een aantal archaïsmen die duiden op een diachronische continuïteit vanaf het middeleeuwse Grieks</w:t>
      </w:r>
      <w:r>
        <w:rPr>
          <w:rFonts w:ascii="Times New Roman" w:hAnsi="Times New Roman" w:cs="Times New Roman"/>
          <w:color w:val="000000"/>
        </w:rPr>
        <w:t>.</w:t>
      </w:r>
    </w:p>
    <w:p w:rsidR="00B041CD" w:rsidRDefault="001F04AE">
      <w:pPr>
        <w:jc w:val="both"/>
      </w:pPr>
      <w:r>
        <w:rPr>
          <w:rFonts w:ascii="Times New Roman" w:hAnsi="Times New Roman" w:cs="Times New Roman"/>
        </w:rPr>
        <w:t>Deze taalkundige kenmerken zijn niet triviaal, want zij hebben e</w:t>
      </w:r>
      <w:r>
        <w:rPr>
          <w:rFonts w:ascii="Times New Roman" w:hAnsi="Times New Roman" w:cs="Times New Roman"/>
        </w:rPr>
        <w:t xml:space="preserve">en invloed op de vitaliteit van de taal als een minderheidstaal in Turkije. Door de Turkse taalpolitiek en negatieve attitudes tegenover allochtone minderheidstalen </w:t>
      </w:r>
      <w:r>
        <w:rPr>
          <w:rFonts w:cs="Calibri"/>
        </w:rPr>
        <w:t>−</w:t>
      </w:r>
      <w:r>
        <w:rPr>
          <w:rFonts w:ascii="Times New Roman" w:hAnsi="Times New Roman" w:cs="Times New Roman"/>
        </w:rPr>
        <w:t xml:space="preserve"> vooral in de jaren ‘80 wanneer veel mensen uit het oosten van Turkije hun dorpen achterli</w:t>
      </w:r>
      <w:r>
        <w:rPr>
          <w:rFonts w:ascii="Times New Roman" w:hAnsi="Times New Roman" w:cs="Times New Roman"/>
        </w:rPr>
        <w:t xml:space="preserve">eten om als werkmigranten naar de grote steden te trekken </w:t>
      </w:r>
      <w:r>
        <w:rPr>
          <w:rFonts w:cs="Calibri"/>
        </w:rPr>
        <w:t>−</w:t>
      </w:r>
      <w:r>
        <w:rPr>
          <w:rFonts w:ascii="Times New Roman" w:hAnsi="Times New Roman" w:cs="Times New Roman"/>
        </w:rPr>
        <w:t xml:space="preserve"> hebben sprekers van vele minderheidstalen in Turkije een moeilijke relatie met hun eigen taal. Dat geldt in sterke mate voor het Koerdisch, maar ook voor de Griekse en Armeense variëteiten die nog</w:t>
      </w:r>
      <w:r>
        <w:rPr>
          <w:rFonts w:ascii="Times New Roman" w:hAnsi="Times New Roman" w:cs="Times New Roman"/>
        </w:rPr>
        <w:t xml:space="preserve"> in Turkije worden gesproken. Eerder onderzoek door Schreiber &amp; Sitaridou (2017) heeft aangetoond (i) dat de Turkse taalpolitiek samenhangt met een aantal andere sociolinguïstische factoren zoals taalattitudes en identiteit, en (ii) welke invloed deze hadd</w:t>
      </w:r>
      <w:r>
        <w:rPr>
          <w:rFonts w:ascii="Times New Roman" w:hAnsi="Times New Roman" w:cs="Times New Roman"/>
        </w:rPr>
        <w:t>en op de vitaliteit van het Romeyka.</w:t>
      </w:r>
    </w:p>
    <w:p w:rsidR="00B041CD" w:rsidRDefault="001F04AE">
      <w:pPr>
        <w:jc w:val="both"/>
      </w:pPr>
      <w:r>
        <w:rPr>
          <w:rFonts w:ascii="Times New Roman" w:hAnsi="Times New Roman" w:cs="Times New Roman"/>
        </w:rPr>
        <w:t>Het centrale vraagstuk van het huidige onderzoek is hoe taalcontact op het grammaticale vlak samenhangt met het afnemende taalgebruik en met sociolinguïstische aspecten zoals attitudes van de sprekers tegenover hun eige</w:t>
      </w:r>
      <w:r>
        <w:rPr>
          <w:rFonts w:ascii="Times New Roman" w:hAnsi="Times New Roman" w:cs="Times New Roman"/>
        </w:rPr>
        <w:t>n taal en taalgebruik.</w:t>
      </w:r>
    </w:p>
    <w:p w:rsidR="00B041CD" w:rsidRDefault="001F04AE">
      <w:pPr>
        <w:jc w:val="both"/>
      </w:pPr>
      <w:r>
        <w:rPr>
          <w:rFonts w:ascii="Times New Roman" w:hAnsi="Times New Roman" w:cs="Times New Roman"/>
        </w:rPr>
        <w:t>In het kader van veldwerk in de Trabzon provincie in Turkije in 2019 werd uitgebreid naturalistisch taalkundig materiaal verzameld om de grammaticale structuren van het Romeyka en hun beïnvloeding door het Turks te kunnen beschrijven</w:t>
      </w:r>
      <w:r>
        <w:rPr>
          <w:rFonts w:ascii="Times New Roman" w:hAnsi="Times New Roman" w:cs="Times New Roman"/>
        </w:rPr>
        <w:t xml:space="preserve"> (zie Schreiber, in voorbereiding). Eerder onderzoek naar de taalvitaliteit van het Romeyka in 2014 (Schreiber 2016, Schreiber &amp; Sitaridou 2017) heeft op basis van interviews met sprekers ook sociolinguïstisch materiaal opgeleverd. Deze twee datasets zulle</w:t>
      </w:r>
      <w:r>
        <w:rPr>
          <w:rFonts w:ascii="Times New Roman" w:hAnsi="Times New Roman" w:cs="Times New Roman"/>
        </w:rPr>
        <w:t>n nu worden samengebracht met het oog op de samenhang tussen taalgebruik en talige structuren.</w:t>
      </w:r>
    </w:p>
    <w:p w:rsidR="00B041CD" w:rsidRDefault="001F04AE">
      <w:pPr>
        <w:jc w:val="both"/>
        <w:rPr>
          <w:rFonts w:ascii="Times New Roman" w:hAnsi="Times New Roman" w:cs="Times New Roman"/>
        </w:rPr>
      </w:pPr>
      <w:r>
        <w:rPr>
          <w:rFonts w:ascii="Times New Roman" w:hAnsi="Times New Roman" w:cs="Times New Roman"/>
        </w:rPr>
        <w:t>Uit dit onderzoek blijkt dat er een samenhang bestaat tussen de sprekersgemeenschap, de grammaticale invloed van het Turks op hun taalrepertoire, het taalgebruik</w:t>
      </w:r>
      <w:r>
        <w:rPr>
          <w:rFonts w:ascii="Times New Roman" w:hAnsi="Times New Roman" w:cs="Times New Roman"/>
        </w:rPr>
        <w:t>, en de opvattingen van de sprekers over het Romeyka. Hoe meer sprekers in contact komen met het Turks en de meerderheidsmaatschappij, des te minder competent ze zijn in de taal, des te sterker de invloeden zijn van het Turks, en des te negatiever hun atti</w:t>
      </w:r>
      <w:r>
        <w:rPr>
          <w:rFonts w:ascii="Times New Roman" w:hAnsi="Times New Roman" w:cs="Times New Roman"/>
        </w:rPr>
        <w:t xml:space="preserve">tudes zijn tegenover het Romeyka. Aan de andere kant blijkt het soort taalcontact van het Romeyka met het Turks bij deze sprekers meer gericht op de pragmatische gesprekssituatie, terwijl een groot deel van de grammatica nog redelijk stabiel lijkt te zijn </w:t>
      </w:r>
      <w:r>
        <w:rPr>
          <w:rFonts w:ascii="Times New Roman" w:hAnsi="Times New Roman" w:cs="Times New Roman"/>
        </w:rPr>
        <w:t>(anders dan in verwante variëteiten van het Grieks in Turkije zoals het Cappadocisch, dat een sterkere invloed van het Turks heeft ondergaan, cf. Janse 2009). Deze bevindingen bieden een blik op de toekomst van het Romeyka, waarbij – ofschoon de taal nog s</w:t>
      </w:r>
      <w:r>
        <w:rPr>
          <w:rFonts w:ascii="Times New Roman" w:hAnsi="Times New Roman" w:cs="Times New Roman"/>
        </w:rPr>
        <w:t>teeds op een stevige structurele basis blijkt te staan – een pragmatische verschuiving naar het Turks onvermijdelijk lijkt.</w:t>
      </w:r>
    </w:p>
    <w:p w:rsidR="00B041CD" w:rsidRDefault="00B041CD">
      <w:pPr>
        <w:rPr>
          <w:rFonts w:ascii="Times New Roman" w:hAnsi="Times New Roman" w:cs="Times New Roman"/>
        </w:rPr>
      </w:pPr>
    </w:p>
    <w:p w:rsidR="00B041CD" w:rsidRDefault="00B041CD">
      <w:pPr>
        <w:rPr>
          <w:rFonts w:ascii="Times New Roman" w:hAnsi="Times New Roman" w:cs="Times New Roman"/>
        </w:rPr>
      </w:pPr>
    </w:p>
    <w:p w:rsidR="00B041CD" w:rsidRDefault="00B041CD">
      <w:pPr>
        <w:rPr>
          <w:rFonts w:ascii="Times New Roman" w:hAnsi="Times New Roman" w:cs="Times New Roman"/>
          <w:b/>
          <w:sz w:val="24"/>
        </w:rPr>
      </w:pPr>
    </w:p>
    <w:p w:rsidR="00B041CD" w:rsidRDefault="001F04AE">
      <w:pPr>
        <w:rPr>
          <w:lang w:val="en-US"/>
        </w:rPr>
      </w:pPr>
      <w:proofErr w:type="spellStart"/>
      <w:r>
        <w:rPr>
          <w:rFonts w:ascii="Times New Roman" w:hAnsi="Times New Roman" w:cs="Times New Roman"/>
          <w:b/>
          <w:sz w:val="24"/>
          <w:lang w:val="en-US"/>
        </w:rPr>
        <w:lastRenderedPageBreak/>
        <w:t>Literatuurlijst</w:t>
      </w:r>
      <w:proofErr w:type="spellEnd"/>
    </w:p>
    <w:p w:rsidR="00B041CD" w:rsidRDefault="001F04AE">
      <w:pPr>
        <w:pStyle w:val="Normaalweb"/>
        <w:spacing w:before="280" w:beforeAutospacing="0" w:after="0" w:afterAutospacing="0"/>
        <w:ind w:left="284" w:hanging="284"/>
        <w:rPr>
          <w:sz w:val="22"/>
          <w:szCs w:val="22"/>
          <w:lang w:val="en-US"/>
        </w:rPr>
      </w:pPr>
      <w:proofErr w:type="spellStart"/>
      <w:r>
        <w:rPr>
          <w:sz w:val="22"/>
          <w:szCs w:val="22"/>
          <w:lang w:val="en-US"/>
        </w:rPr>
        <w:t>Bortone</w:t>
      </w:r>
      <w:proofErr w:type="spellEnd"/>
      <w:r>
        <w:rPr>
          <w:sz w:val="22"/>
          <w:szCs w:val="22"/>
          <w:lang w:val="en-US"/>
        </w:rPr>
        <w:t xml:space="preserve">, P. (2009). Greek with No History, No Standard, No Models: Muslim Pontic Greek. In A. </w:t>
      </w:r>
      <w:proofErr w:type="spellStart"/>
      <w:r>
        <w:rPr>
          <w:sz w:val="22"/>
          <w:szCs w:val="22"/>
          <w:lang w:val="en-US"/>
        </w:rPr>
        <w:t>Georgakopoulou</w:t>
      </w:r>
      <w:proofErr w:type="spellEnd"/>
      <w:r>
        <w:rPr>
          <w:sz w:val="22"/>
          <w:szCs w:val="22"/>
          <w:lang w:val="en-US"/>
        </w:rPr>
        <w:t xml:space="preserve"> and </w:t>
      </w:r>
      <w:r>
        <w:rPr>
          <w:sz w:val="22"/>
          <w:szCs w:val="22"/>
          <w:lang w:val="en-US"/>
        </w:rPr>
        <w:t xml:space="preserve">M. Silk (eds.), </w:t>
      </w:r>
      <w:r>
        <w:rPr>
          <w:i/>
          <w:iCs/>
          <w:sz w:val="22"/>
          <w:szCs w:val="22"/>
          <w:lang w:val="en-US"/>
        </w:rPr>
        <w:t>Standard Languages and Language Standards: Greek, Past and Present</w:t>
      </w:r>
      <w:r>
        <w:rPr>
          <w:sz w:val="22"/>
          <w:szCs w:val="22"/>
          <w:lang w:val="en-US"/>
        </w:rPr>
        <w:t>, 67–89. London: Ashgate.</w:t>
      </w:r>
    </w:p>
    <w:p w:rsidR="00B041CD" w:rsidRDefault="001F04AE">
      <w:pPr>
        <w:pStyle w:val="Normaalweb"/>
        <w:spacing w:before="280" w:after="0"/>
        <w:ind w:left="284" w:hanging="284"/>
        <w:rPr>
          <w:sz w:val="22"/>
          <w:szCs w:val="22"/>
          <w:lang w:val="en-US"/>
        </w:rPr>
      </w:pPr>
      <w:r>
        <w:rPr>
          <w:sz w:val="22"/>
          <w:szCs w:val="22"/>
          <w:lang w:val="en-US"/>
        </w:rPr>
        <w:t xml:space="preserve">Janse, M. (2009). Greek-Turkish language contact in Asia Minor. </w:t>
      </w:r>
      <w:r>
        <w:rPr>
          <w:i/>
          <w:iCs/>
          <w:sz w:val="22"/>
          <w:szCs w:val="22"/>
          <w:lang w:val="en-US"/>
        </w:rPr>
        <w:t xml:space="preserve">Hellenic Studies </w:t>
      </w:r>
      <w:r>
        <w:rPr>
          <w:sz w:val="22"/>
          <w:szCs w:val="22"/>
          <w:lang w:val="en-US"/>
        </w:rPr>
        <w:t>17 (1): 37–54.</w:t>
      </w:r>
    </w:p>
    <w:p w:rsidR="00B041CD" w:rsidRDefault="001F04AE">
      <w:pPr>
        <w:pStyle w:val="Normaalweb"/>
        <w:spacing w:before="280" w:beforeAutospacing="0" w:after="0" w:afterAutospacing="0"/>
        <w:ind w:left="284" w:hanging="284"/>
        <w:rPr>
          <w:lang w:val="en-US"/>
        </w:rPr>
      </w:pPr>
      <w:proofErr w:type="spellStart"/>
      <w:r>
        <w:rPr>
          <w:sz w:val="22"/>
          <w:szCs w:val="22"/>
          <w:lang w:val="en-US"/>
        </w:rPr>
        <w:t>Mackridge</w:t>
      </w:r>
      <w:proofErr w:type="spellEnd"/>
      <w:r>
        <w:rPr>
          <w:sz w:val="22"/>
          <w:szCs w:val="22"/>
          <w:lang w:val="en-US"/>
        </w:rPr>
        <w:t>, P. (1987). Greek-Speaking Moslems of Nort</w:t>
      </w:r>
      <w:r>
        <w:rPr>
          <w:sz w:val="22"/>
          <w:szCs w:val="22"/>
          <w:lang w:val="en-US"/>
        </w:rPr>
        <w:t xml:space="preserve">h-East Turkey: Prolegomena to a Study of the Ophitic Sub-Dialect of Pontic. </w:t>
      </w:r>
      <w:r>
        <w:rPr>
          <w:i/>
          <w:iCs/>
          <w:sz w:val="22"/>
          <w:szCs w:val="22"/>
          <w:lang w:val="en-US"/>
        </w:rPr>
        <w:t>Byzantine and Modern Greek Studies</w:t>
      </w:r>
      <w:r>
        <w:rPr>
          <w:sz w:val="22"/>
          <w:szCs w:val="22"/>
          <w:lang w:val="en-US"/>
        </w:rPr>
        <w:t xml:space="preserve"> 11: 115–137.</w:t>
      </w:r>
    </w:p>
    <w:p w:rsidR="00B041CD" w:rsidRDefault="001F04AE">
      <w:pPr>
        <w:pStyle w:val="Normaalweb"/>
        <w:spacing w:before="280" w:beforeAutospacing="0" w:after="0" w:afterAutospacing="0"/>
        <w:ind w:left="284" w:hanging="284"/>
        <w:rPr>
          <w:lang w:val="en-US"/>
        </w:rPr>
      </w:pPr>
      <w:proofErr w:type="spellStart"/>
      <w:r>
        <w:rPr>
          <w:sz w:val="22"/>
          <w:szCs w:val="22"/>
          <w:lang w:val="en-US"/>
        </w:rPr>
        <w:t>Özkan</w:t>
      </w:r>
      <w:proofErr w:type="spellEnd"/>
      <w:r>
        <w:rPr>
          <w:sz w:val="22"/>
          <w:szCs w:val="22"/>
          <w:lang w:val="en-US"/>
        </w:rPr>
        <w:t xml:space="preserve">, H. (2013). The Pontic Greek Spoken by Muslims in the Villages of </w:t>
      </w:r>
      <w:proofErr w:type="spellStart"/>
      <w:r>
        <w:rPr>
          <w:sz w:val="22"/>
          <w:szCs w:val="22"/>
          <w:lang w:val="en-US"/>
        </w:rPr>
        <w:t>Beşköy</w:t>
      </w:r>
      <w:proofErr w:type="spellEnd"/>
      <w:r>
        <w:rPr>
          <w:sz w:val="22"/>
          <w:szCs w:val="22"/>
          <w:lang w:val="en-US"/>
        </w:rPr>
        <w:t xml:space="preserve"> in the Province of Present-Day Trabzon. </w:t>
      </w:r>
      <w:r>
        <w:rPr>
          <w:i/>
          <w:iCs/>
          <w:sz w:val="22"/>
          <w:szCs w:val="22"/>
          <w:lang w:val="en-US"/>
        </w:rPr>
        <w:t>Byzantine and</w:t>
      </w:r>
      <w:r>
        <w:rPr>
          <w:i/>
          <w:iCs/>
          <w:sz w:val="22"/>
          <w:szCs w:val="22"/>
          <w:lang w:val="en-US"/>
        </w:rPr>
        <w:t xml:space="preserve"> Modern Greek Studies </w:t>
      </w:r>
      <w:r>
        <w:rPr>
          <w:sz w:val="22"/>
          <w:szCs w:val="22"/>
          <w:lang w:val="en-US"/>
        </w:rPr>
        <w:t>37 (1): 130–150.</w:t>
      </w:r>
    </w:p>
    <w:p w:rsidR="00B041CD" w:rsidRDefault="001F04AE">
      <w:pPr>
        <w:pStyle w:val="Normaalweb"/>
        <w:spacing w:before="280" w:beforeAutospacing="0" w:after="0" w:afterAutospacing="0"/>
        <w:ind w:left="284" w:hanging="284"/>
        <w:rPr>
          <w:lang w:val="en-US"/>
        </w:rPr>
      </w:pPr>
      <w:r>
        <w:rPr>
          <w:sz w:val="22"/>
          <w:szCs w:val="22"/>
          <w:lang w:val="en-US"/>
        </w:rPr>
        <w:t xml:space="preserve">Schreiber, L. (2016). Assessing Sociolinguistic Vitality: An Attitudinal Study of </w:t>
      </w:r>
      <w:proofErr w:type="spellStart"/>
      <w:r>
        <w:rPr>
          <w:sz w:val="22"/>
          <w:szCs w:val="22"/>
          <w:lang w:val="en-US"/>
        </w:rPr>
        <w:t>Rumca</w:t>
      </w:r>
      <w:proofErr w:type="spellEnd"/>
      <w:r>
        <w:rPr>
          <w:sz w:val="22"/>
          <w:szCs w:val="22"/>
          <w:lang w:val="en-US"/>
        </w:rPr>
        <w:t xml:space="preserve"> (</w:t>
      </w:r>
      <w:proofErr w:type="spellStart"/>
      <w:r>
        <w:rPr>
          <w:sz w:val="22"/>
          <w:szCs w:val="22"/>
          <w:lang w:val="en-US"/>
        </w:rPr>
        <w:t>Romeyka</w:t>
      </w:r>
      <w:proofErr w:type="spellEnd"/>
      <w:r>
        <w:rPr>
          <w:sz w:val="22"/>
          <w:szCs w:val="22"/>
          <w:lang w:val="en-US"/>
        </w:rPr>
        <w:t xml:space="preserve">). In H. Wiese, H. F. Marten, and O. Bunk (eds.), </w:t>
      </w:r>
      <w:proofErr w:type="spellStart"/>
      <w:r>
        <w:rPr>
          <w:sz w:val="22"/>
          <w:szCs w:val="22"/>
          <w:lang w:val="en-US"/>
        </w:rPr>
        <w:t>Arbeitspapiere</w:t>
      </w:r>
      <w:proofErr w:type="spellEnd"/>
      <w:r>
        <w:rPr>
          <w:sz w:val="22"/>
          <w:szCs w:val="22"/>
          <w:lang w:val="en-US"/>
        </w:rPr>
        <w:t xml:space="preserve"> ‘</w:t>
      </w:r>
      <w:proofErr w:type="spellStart"/>
      <w:r>
        <w:rPr>
          <w:sz w:val="22"/>
          <w:szCs w:val="22"/>
          <w:lang w:val="en-US"/>
        </w:rPr>
        <w:t>Sprache</w:t>
      </w:r>
      <w:proofErr w:type="spellEnd"/>
      <w:r>
        <w:rPr>
          <w:sz w:val="22"/>
          <w:szCs w:val="22"/>
          <w:lang w:val="en-US"/>
        </w:rPr>
        <w:t xml:space="preserve">, Variation und Migration’: </w:t>
      </w:r>
      <w:proofErr w:type="spellStart"/>
      <w:r>
        <w:rPr>
          <w:sz w:val="22"/>
          <w:szCs w:val="22"/>
          <w:lang w:val="en-US"/>
        </w:rPr>
        <w:t>Studentische</w:t>
      </w:r>
      <w:proofErr w:type="spellEnd"/>
      <w:r>
        <w:rPr>
          <w:sz w:val="22"/>
          <w:szCs w:val="22"/>
          <w:lang w:val="en-US"/>
        </w:rPr>
        <w:t xml:space="preserve"> </w:t>
      </w:r>
      <w:proofErr w:type="spellStart"/>
      <w:r>
        <w:rPr>
          <w:sz w:val="22"/>
          <w:szCs w:val="22"/>
          <w:lang w:val="en-US"/>
        </w:rPr>
        <w:t>Arbeiten</w:t>
      </w:r>
      <w:proofErr w:type="spellEnd"/>
      <w:r>
        <w:rPr>
          <w:sz w:val="22"/>
          <w:szCs w:val="22"/>
          <w:lang w:val="en-US"/>
        </w:rPr>
        <w:t>, Papier Nr. 4, University of Potsdam. http://www.uni-potsdam.de/svm/arbeitspapiere-svm.html (accessed 30 Jan 2019).</w:t>
      </w:r>
    </w:p>
    <w:p w:rsidR="00B041CD" w:rsidRDefault="001F04AE">
      <w:pPr>
        <w:pStyle w:val="Normaalweb"/>
        <w:spacing w:before="280" w:beforeAutospacing="0" w:after="0" w:afterAutospacing="0"/>
        <w:ind w:left="284" w:hanging="284"/>
        <w:rPr>
          <w:sz w:val="22"/>
          <w:szCs w:val="22"/>
          <w:lang w:val="en-US"/>
        </w:rPr>
      </w:pPr>
      <w:r>
        <w:rPr>
          <w:sz w:val="22"/>
          <w:szCs w:val="22"/>
        </w:rPr>
        <w:t>Schreiber, L. (in voorbereiding). A (contact-)</w:t>
      </w:r>
      <w:proofErr w:type="spellStart"/>
      <w:r>
        <w:rPr>
          <w:sz w:val="22"/>
          <w:szCs w:val="22"/>
        </w:rPr>
        <w:t>grammar</w:t>
      </w:r>
      <w:proofErr w:type="spellEnd"/>
      <w:r>
        <w:rPr>
          <w:sz w:val="22"/>
          <w:szCs w:val="22"/>
        </w:rPr>
        <w:t xml:space="preserve"> of Romeyka. </w:t>
      </w:r>
      <w:r>
        <w:rPr>
          <w:sz w:val="22"/>
          <w:szCs w:val="22"/>
          <w:lang w:val="en-US"/>
        </w:rPr>
        <w:t>University of Bamberg/University of Ghent Dissertation.</w:t>
      </w:r>
    </w:p>
    <w:p w:rsidR="00B041CD" w:rsidRDefault="001F04AE">
      <w:pPr>
        <w:pStyle w:val="Normaalweb"/>
        <w:spacing w:before="280" w:after="0"/>
        <w:ind w:left="284" w:hanging="284"/>
        <w:rPr>
          <w:sz w:val="22"/>
          <w:szCs w:val="22"/>
          <w:lang w:val="en-US"/>
        </w:rPr>
      </w:pPr>
      <w:r>
        <w:rPr>
          <w:sz w:val="22"/>
          <w:szCs w:val="22"/>
          <w:lang w:val="en-US"/>
        </w:rPr>
        <w:t>Schreiber</w:t>
      </w:r>
      <w:r>
        <w:rPr>
          <w:sz w:val="22"/>
          <w:szCs w:val="22"/>
          <w:lang w:val="en-US"/>
        </w:rPr>
        <w:t xml:space="preserve">, L &amp; I. </w:t>
      </w:r>
      <w:proofErr w:type="spellStart"/>
      <w:r>
        <w:rPr>
          <w:sz w:val="22"/>
          <w:szCs w:val="22"/>
          <w:lang w:val="en-US"/>
        </w:rPr>
        <w:t>Sitaridou</w:t>
      </w:r>
      <w:proofErr w:type="spellEnd"/>
      <w:r>
        <w:rPr>
          <w:sz w:val="22"/>
          <w:szCs w:val="22"/>
          <w:lang w:val="en-US"/>
        </w:rPr>
        <w:t xml:space="preserve"> (2017). Assessing the sociolinguistic vitality of </w:t>
      </w:r>
      <w:proofErr w:type="spellStart"/>
      <w:r>
        <w:rPr>
          <w:sz w:val="22"/>
          <w:szCs w:val="22"/>
          <w:lang w:val="en-US"/>
        </w:rPr>
        <w:t>Istanbulite</w:t>
      </w:r>
      <w:proofErr w:type="spellEnd"/>
      <w:r>
        <w:rPr>
          <w:sz w:val="22"/>
          <w:szCs w:val="22"/>
          <w:lang w:val="en-US"/>
        </w:rPr>
        <w:t xml:space="preserve"> </w:t>
      </w:r>
      <w:proofErr w:type="spellStart"/>
      <w:r>
        <w:rPr>
          <w:sz w:val="22"/>
          <w:szCs w:val="22"/>
          <w:lang w:val="en-US"/>
        </w:rPr>
        <w:t>Romeyka</w:t>
      </w:r>
      <w:proofErr w:type="spellEnd"/>
      <w:r>
        <w:rPr>
          <w:sz w:val="22"/>
          <w:szCs w:val="22"/>
          <w:lang w:val="en-US"/>
        </w:rPr>
        <w:t xml:space="preserve">: an attitudinal study. </w:t>
      </w:r>
      <w:r>
        <w:rPr>
          <w:i/>
          <w:iCs/>
          <w:sz w:val="22"/>
          <w:szCs w:val="22"/>
          <w:lang w:val="en-US"/>
        </w:rPr>
        <w:t>Journal of Multilingual and Multicultural Development</w:t>
      </w:r>
      <w:r>
        <w:rPr>
          <w:sz w:val="22"/>
          <w:szCs w:val="22"/>
          <w:lang w:val="en-US"/>
        </w:rPr>
        <w:t xml:space="preserve"> 39 (1): 1–16.</w:t>
      </w:r>
    </w:p>
    <w:p w:rsidR="00B041CD" w:rsidRDefault="001F04AE">
      <w:pPr>
        <w:pStyle w:val="Normaalweb"/>
        <w:spacing w:before="280" w:beforeAutospacing="0" w:after="0" w:afterAutospacing="0"/>
        <w:ind w:left="284" w:hanging="284"/>
        <w:rPr>
          <w:lang w:val="en-US"/>
        </w:rPr>
      </w:pPr>
      <w:proofErr w:type="spellStart"/>
      <w:r>
        <w:rPr>
          <w:sz w:val="22"/>
          <w:szCs w:val="22"/>
          <w:lang w:val="en-US"/>
        </w:rPr>
        <w:t>Sitaridou</w:t>
      </w:r>
      <w:proofErr w:type="spellEnd"/>
      <w:r>
        <w:rPr>
          <w:sz w:val="22"/>
          <w:szCs w:val="22"/>
          <w:lang w:val="en-US"/>
        </w:rPr>
        <w:t>, I. (2013). Greek-Speaking Enclaves in Pontus Today: The Documenta</w:t>
      </w:r>
      <w:r>
        <w:rPr>
          <w:sz w:val="22"/>
          <w:szCs w:val="22"/>
          <w:lang w:val="en-US"/>
        </w:rPr>
        <w:t xml:space="preserve">tion and Revitalization of </w:t>
      </w:r>
      <w:proofErr w:type="spellStart"/>
      <w:r>
        <w:rPr>
          <w:sz w:val="22"/>
          <w:szCs w:val="22"/>
          <w:lang w:val="en-US"/>
        </w:rPr>
        <w:t>Romeyka</w:t>
      </w:r>
      <w:proofErr w:type="spellEnd"/>
      <w:r>
        <w:rPr>
          <w:sz w:val="22"/>
          <w:szCs w:val="22"/>
          <w:lang w:val="en-US"/>
        </w:rPr>
        <w:t xml:space="preserve">. In M. Jones and S. Ogilvie (eds.), </w:t>
      </w:r>
      <w:r>
        <w:rPr>
          <w:i/>
          <w:iCs/>
          <w:sz w:val="22"/>
          <w:szCs w:val="22"/>
          <w:lang w:val="en-US"/>
        </w:rPr>
        <w:t>Keeping Languages Alive: Language Endangerment: Documentation, Pedagogy and Revitalization</w:t>
      </w:r>
      <w:r>
        <w:rPr>
          <w:sz w:val="22"/>
          <w:szCs w:val="22"/>
          <w:lang w:val="en-US"/>
        </w:rPr>
        <w:t>, 98–112. Cambridge: Cambridge University Press.</w:t>
      </w:r>
    </w:p>
    <w:p w:rsidR="00B041CD" w:rsidRDefault="001F04AE">
      <w:pPr>
        <w:pStyle w:val="Normaalweb"/>
        <w:spacing w:before="280" w:beforeAutospacing="0" w:after="0" w:afterAutospacing="0"/>
        <w:ind w:left="284" w:hanging="284"/>
        <w:rPr>
          <w:lang w:val="en-US"/>
        </w:rPr>
      </w:pPr>
      <w:proofErr w:type="spellStart"/>
      <w:r>
        <w:rPr>
          <w:sz w:val="22"/>
          <w:szCs w:val="22"/>
          <w:lang w:val="en-US"/>
        </w:rPr>
        <w:t>Sitaridou</w:t>
      </w:r>
      <w:proofErr w:type="spellEnd"/>
      <w:r>
        <w:rPr>
          <w:sz w:val="22"/>
          <w:szCs w:val="22"/>
          <w:lang w:val="en-US"/>
        </w:rPr>
        <w:t xml:space="preserve">, I. (2014a). The </w:t>
      </w:r>
      <w:proofErr w:type="spellStart"/>
      <w:r>
        <w:rPr>
          <w:sz w:val="22"/>
          <w:szCs w:val="22"/>
          <w:lang w:val="en-US"/>
        </w:rPr>
        <w:t>Romeyka</w:t>
      </w:r>
      <w:proofErr w:type="spellEnd"/>
      <w:r>
        <w:rPr>
          <w:sz w:val="22"/>
          <w:szCs w:val="22"/>
          <w:lang w:val="en-US"/>
        </w:rPr>
        <w:t xml:space="preserve"> Infinitive:</w:t>
      </w:r>
      <w:r>
        <w:rPr>
          <w:sz w:val="22"/>
          <w:szCs w:val="22"/>
          <w:lang w:val="en-US"/>
        </w:rPr>
        <w:t xml:space="preserve"> Continuity, Contact and Change in the Hellenic Varieties of Pontus. </w:t>
      </w:r>
      <w:proofErr w:type="spellStart"/>
      <w:r>
        <w:rPr>
          <w:i/>
          <w:iCs/>
          <w:sz w:val="22"/>
          <w:szCs w:val="22"/>
          <w:lang w:val="en-US"/>
        </w:rPr>
        <w:t>Diachronica</w:t>
      </w:r>
      <w:proofErr w:type="spellEnd"/>
      <w:r>
        <w:rPr>
          <w:sz w:val="22"/>
          <w:szCs w:val="22"/>
          <w:lang w:val="en-US"/>
        </w:rPr>
        <w:t xml:space="preserve"> 31 (1): 23–73.</w:t>
      </w:r>
    </w:p>
    <w:p w:rsidR="00B041CD" w:rsidRDefault="001F04AE">
      <w:pPr>
        <w:pStyle w:val="Normaalweb"/>
        <w:spacing w:before="280" w:beforeAutospacing="0" w:after="0" w:afterAutospacing="0"/>
        <w:ind w:left="284" w:hanging="284"/>
      </w:pPr>
      <w:proofErr w:type="spellStart"/>
      <w:r>
        <w:rPr>
          <w:sz w:val="22"/>
          <w:szCs w:val="22"/>
          <w:lang w:val="en-US"/>
        </w:rPr>
        <w:t>Sitaridou</w:t>
      </w:r>
      <w:proofErr w:type="spellEnd"/>
      <w:r>
        <w:rPr>
          <w:sz w:val="22"/>
          <w:szCs w:val="22"/>
          <w:lang w:val="en-US"/>
        </w:rPr>
        <w:t xml:space="preserve">, I. (2014b). Modality, </w:t>
      </w:r>
      <w:proofErr w:type="spellStart"/>
      <w:r>
        <w:rPr>
          <w:sz w:val="22"/>
          <w:szCs w:val="22"/>
          <w:lang w:val="en-US"/>
        </w:rPr>
        <w:t>Antiveridicality</w:t>
      </w:r>
      <w:proofErr w:type="spellEnd"/>
      <w:r>
        <w:rPr>
          <w:sz w:val="22"/>
          <w:szCs w:val="22"/>
          <w:lang w:val="en-US"/>
        </w:rPr>
        <w:t xml:space="preserve">, and Complementation: The </w:t>
      </w:r>
      <w:proofErr w:type="spellStart"/>
      <w:r>
        <w:rPr>
          <w:sz w:val="22"/>
          <w:szCs w:val="22"/>
          <w:lang w:val="en-US"/>
        </w:rPr>
        <w:t>Romeyka</w:t>
      </w:r>
      <w:proofErr w:type="spellEnd"/>
      <w:r>
        <w:rPr>
          <w:sz w:val="22"/>
          <w:szCs w:val="22"/>
          <w:lang w:val="en-US"/>
        </w:rPr>
        <w:t xml:space="preserve"> Infinitive as a Negative Polarity Item. </w:t>
      </w:r>
      <w:r>
        <w:rPr>
          <w:i/>
          <w:iCs/>
          <w:sz w:val="22"/>
          <w:szCs w:val="22"/>
        </w:rPr>
        <w:t>Lingua</w:t>
      </w:r>
      <w:r>
        <w:rPr>
          <w:sz w:val="22"/>
          <w:szCs w:val="22"/>
        </w:rPr>
        <w:t xml:space="preserve"> 148: 118–146.</w:t>
      </w:r>
    </w:p>
    <w:sectPr w:rsidR="00B041CD">
      <w:pgSz w:w="11906" w:h="16838"/>
      <w:pgMar w:top="1417" w:right="1417" w:bottom="1417" w:left="1417" w:header="0" w:footer="0" w:gutter="0"/>
      <w:cols w:space="708"/>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1CD"/>
    <w:rsid w:val="001F04AE"/>
    <w:rsid w:val="00B041CD"/>
  </w:rsids>
  <m:mathPr>
    <m:mathFont m:val="Cambria Math"/>
    <m:brkBin m:val="before"/>
    <m:brkBinSub m:val="--"/>
    <m:smallFrac m:val="0"/>
    <m:dispDef/>
    <m:lMargin m:val="0"/>
    <m:rMargin m:val="0"/>
    <m:defJc m:val="centerGroup"/>
    <m:wrapIndent m:val="1440"/>
    <m:intLim m:val="subSup"/>
    <m:naryLim m:val="undOvr"/>
  </m:mathPr>
  <w:themeFontLang w:val="nl-BE"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1D7B258-6402-4E14-8141-4A8169A82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Cs w:val="22"/>
        <w:lang w:val="nl-BE" w:eastAsia="en-US"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CF34F8"/>
    <w:pPr>
      <w:spacing w:after="160" w:line="259" w:lineRule="auto"/>
      <w:contextualSpacing/>
    </w:pPr>
    <w:rPr>
      <w:sz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Nadruk">
    <w:name w:val="Emphasis"/>
    <w:basedOn w:val="Standaardalinea-lettertype"/>
    <w:uiPriority w:val="20"/>
    <w:qFormat/>
    <w:rsid w:val="00B01E8A"/>
    <w:rPr>
      <w:i/>
      <w:iCs/>
    </w:rPr>
  </w:style>
  <w:style w:type="character" w:styleId="Hyperlink">
    <w:name w:val="Hyperlink"/>
    <w:rPr>
      <w:color w:val="000080"/>
      <w:u w:val="single"/>
    </w:rPr>
  </w:style>
  <w:style w:type="paragraph" w:customStyle="1" w:styleId="Heading">
    <w:name w:val="Heading"/>
    <w:basedOn w:val="Standaard"/>
    <w:next w:val="Plattetekst"/>
    <w:qFormat/>
    <w:pPr>
      <w:keepNext/>
      <w:spacing w:before="240" w:after="120"/>
    </w:pPr>
    <w:rPr>
      <w:rFonts w:ascii="Liberation Sans" w:eastAsia="Noto Sans CJK SC" w:hAnsi="Liberation Sans" w:cs="Lohit Devanagari"/>
      <w:sz w:val="28"/>
      <w:szCs w:val="28"/>
    </w:rPr>
  </w:style>
  <w:style w:type="paragraph" w:styleId="Plattetekst">
    <w:name w:val="Body Text"/>
    <w:basedOn w:val="Standaard"/>
    <w:pPr>
      <w:spacing w:after="140" w:line="276" w:lineRule="auto"/>
    </w:pPr>
  </w:style>
  <w:style w:type="paragraph" w:styleId="Lijst">
    <w:name w:val="List"/>
    <w:basedOn w:val="Plattetekst"/>
    <w:rPr>
      <w:rFonts w:cs="Lohit Devanagari"/>
    </w:rPr>
  </w:style>
  <w:style w:type="paragraph" w:styleId="Bijschrift">
    <w:name w:val="caption"/>
    <w:basedOn w:val="Standaard"/>
    <w:qFormat/>
    <w:pPr>
      <w:suppressLineNumbers/>
      <w:spacing w:before="120" w:after="120"/>
    </w:pPr>
    <w:rPr>
      <w:rFonts w:cs="Lohit Devanagari"/>
      <w:i/>
      <w:iCs/>
      <w:sz w:val="24"/>
      <w:szCs w:val="24"/>
    </w:rPr>
  </w:style>
  <w:style w:type="paragraph" w:customStyle="1" w:styleId="Index">
    <w:name w:val="Index"/>
    <w:basedOn w:val="Standaard"/>
    <w:qFormat/>
    <w:pPr>
      <w:suppressLineNumbers/>
    </w:pPr>
    <w:rPr>
      <w:rFonts w:cs="Lohit Devanagari"/>
    </w:rPr>
  </w:style>
  <w:style w:type="paragraph" w:styleId="Normaalweb">
    <w:name w:val="Normal (Web)"/>
    <w:basedOn w:val="Standaard"/>
    <w:uiPriority w:val="99"/>
    <w:unhideWhenUsed/>
    <w:qFormat/>
    <w:rsid w:val="00B01E8A"/>
    <w:pPr>
      <w:spacing w:beforeAutospacing="1" w:afterAutospacing="1" w:line="240" w:lineRule="auto"/>
    </w:pPr>
    <w:rPr>
      <w:rFonts w:ascii="Times New Roman" w:eastAsia="Times New Roman" w:hAnsi="Times New Roman" w:cs="Times New Roman"/>
      <w:sz w:val="24"/>
      <w:szCs w:val="24"/>
      <w:lang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869</Words>
  <Characters>4993</Characters>
  <Application>Microsoft Office Word</Application>
  <DocSecurity>0</DocSecurity>
  <Lines>76</Lines>
  <Paragraphs>16</Paragraphs>
  <ScaleCrop>false</ScaleCrop>
  <HeadingPairs>
    <vt:vector size="2" baseType="variant">
      <vt:variant>
        <vt:lpstr>Titel</vt:lpstr>
      </vt:variant>
      <vt:variant>
        <vt:i4>1</vt:i4>
      </vt:variant>
    </vt:vector>
  </HeadingPairs>
  <TitlesOfParts>
    <vt:vector size="1" baseType="lpstr">
      <vt:lpstr/>
    </vt:vector>
  </TitlesOfParts>
  <Company>KU Leuven</Company>
  <LinksUpToDate>false</LinksUpToDate>
  <CharactersWithSpaces>5846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dc:description/>
  <cp:lastModifiedBy>Alexandra Vereeck</cp:lastModifiedBy>
  <cp:revision>2</cp:revision>
  <dcterms:created xsi:type="dcterms:W3CDTF">2022-09-12T16:02:00Z</dcterms:created>
  <dcterms:modified xsi:type="dcterms:W3CDTF">2022-09-12T16:02:00Z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KU Leuven</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